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3F6" w:rsidRPr="00D0457E" w:rsidRDefault="00993A73" w:rsidP="00EF324F">
      <w:pPr>
        <w:spacing w:after="0"/>
        <w:rPr>
          <w:b/>
          <w:i/>
          <w:sz w:val="32"/>
          <w:szCs w:val="32"/>
          <w:lang w:val="en-GB"/>
        </w:rPr>
      </w:pPr>
      <w:bookmarkStart w:id="0" w:name="_GoBack"/>
      <w:bookmarkEnd w:id="0"/>
      <w:r w:rsidRPr="00D0457E">
        <w:rPr>
          <w:b/>
          <w:i/>
          <w:sz w:val="32"/>
          <w:szCs w:val="32"/>
          <w:lang w:val="en-GB"/>
        </w:rPr>
        <w:t>Life Cycle Assessment of Several Types of Tropical Timber Used for Pile Planking</w:t>
      </w:r>
    </w:p>
    <w:p w:rsidR="00075DE9" w:rsidRPr="00D0457E" w:rsidRDefault="00993A73" w:rsidP="00EF324F">
      <w:pPr>
        <w:spacing w:after="0"/>
        <w:rPr>
          <w:lang w:val="en-GB"/>
        </w:rPr>
      </w:pPr>
      <w:r w:rsidRPr="00D0457E">
        <w:rPr>
          <w:lang w:val="en-GB"/>
        </w:rPr>
        <w:t>Executive Summary</w:t>
      </w:r>
    </w:p>
    <w:p w:rsidR="00EF324F" w:rsidRPr="00D0457E" w:rsidRDefault="00EF324F" w:rsidP="00EF324F">
      <w:pPr>
        <w:spacing w:after="0"/>
        <w:rPr>
          <w:i/>
          <w:lang w:val="en-GB"/>
        </w:rPr>
      </w:pPr>
    </w:p>
    <w:p w:rsidR="00A973F6" w:rsidRPr="00D0457E" w:rsidRDefault="00993A73" w:rsidP="00EF324F">
      <w:pPr>
        <w:spacing w:after="0"/>
        <w:rPr>
          <w:i/>
          <w:lang w:val="en-GB"/>
        </w:rPr>
      </w:pPr>
      <w:r w:rsidRPr="00D0457E">
        <w:rPr>
          <w:i/>
          <w:lang w:val="en-GB"/>
        </w:rPr>
        <w:t>Introduction</w:t>
      </w:r>
    </w:p>
    <w:p w:rsidR="00A973F6" w:rsidRPr="00D0457E" w:rsidRDefault="00D95009" w:rsidP="00EF324F">
      <w:pPr>
        <w:spacing w:after="0"/>
        <w:rPr>
          <w:lang w:val="en-GB"/>
        </w:rPr>
      </w:pPr>
      <w:r w:rsidRPr="00D0457E">
        <w:rPr>
          <w:lang w:val="en-GB"/>
        </w:rPr>
        <w:t>Pile planking is a major market for sustainably produced tropical timber. However, despite its positive and eco-friendly properties, timber is facing stiff and increasing competition from steel and plastic (both virgin and recycled). This prompted an official study into environmental ratings for timber pile planking made from the three most commonly used and sustainably produced tropical hardwoods. A separate exploratory study was also conducted to compare environmental ratings for timber pile planking with those for steel and plastic (virgin and recycled) sheet piling.</w:t>
      </w:r>
    </w:p>
    <w:p w:rsidR="00261D67" w:rsidRPr="00D0457E" w:rsidRDefault="00261D67" w:rsidP="00EF324F">
      <w:pPr>
        <w:spacing w:after="0"/>
        <w:rPr>
          <w:lang w:val="en-GB"/>
        </w:rPr>
      </w:pPr>
    </w:p>
    <w:p w:rsidR="00EF324F" w:rsidRDefault="00495400" w:rsidP="00EF324F">
      <w:pPr>
        <w:spacing w:after="0"/>
        <w:rPr>
          <w:lang w:val="en-GB"/>
        </w:rPr>
      </w:pPr>
      <w:r w:rsidRPr="00D0457E">
        <w:rPr>
          <w:lang w:val="en-GB"/>
        </w:rPr>
        <w:t xml:space="preserve">A </w:t>
      </w:r>
      <w:r w:rsidRPr="00D0457E">
        <w:rPr>
          <w:i/>
          <w:lang w:val="en-GB"/>
        </w:rPr>
        <w:t>Life Cycle Assessment</w:t>
      </w:r>
      <w:r w:rsidRPr="00D0457E">
        <w:rPr>
          <w:lang w:val="en-GB"/>
        </w:rPr>
        <w:t xml:space="preserve"> (LCA) is currently the best and most widely accepted method for assessing environmental impact, despite several limitations in relation to assessing timber originating from sustainably managed forests. </w:t>
      </w:r>
    </w:p>
    <w:p w:rsidR="0044159A" w:rsidRPr="00D0457E" w:rsidRDefault="0044159A" w:rsidP="00EF324F">
      <w:pPr>
        <w:spacing w:after="0"/>
        <w:rPr>
          <w:i/>
          <w:lang w:val="en-GB"/>
        </w:rPr>
      </w:pPr>
    </w:p>
    <w:p w:rsidR="00A973F6" w:rsidRPr="00D0457E" w:rsidRDefault="00D0657A" w:rsidP="004D3853">
      <w:pPr>
        <w:keepNext/>
        <w:spacing w:before="100" w:beforeAutospacing="1" w:after="100" w:afterAutospacing="1"/>
        <w:contextualSpacing/>
        <w:rPr>
          <w:i/>
          <w:lang w:val="en-GB"/>
        </w:rPr>
      </w:pPr>
      <w:r w:rsidRPr="00D0457E">
        <w:rPr>
          <w:i/>
          <w:iCs/>
          <w:lang w:val="en-GB"/>
        </w:rPr>
        <w:t>Initiative &amp; Responsibility</w:t>
      </w:r>
    </w:p>
    <w:p w:rsidR="00075DE9" w:rsidRPr="00D0457E" w:rsidRDefault="00D0657A" w:rsidP="00EF324F">
      <w:pPr>
        <w:spacing w:after="0"/>
        <w:rPr>
          <w:lang w:val="en-GB"/>
        </w:rPr>
      </w:pPr>
      <w:proofErr w:type="spellStart"/>
      <w:r w:rsidRPr="00D0457E">
        <w:rPr>
          <w:lang w:val="en-GB"/>
        </w:rPr>
        <w:t>Koninklijke</w:t>
      </w:r>
      <w:proofErr w:type="spellEnd"/>
      <w:r w:rsidRPr="00D0457E">
        <w:rPr>
          <w:lang w:val="en-GB"/>
        </w:rPr>
        <w:t xml:space="preserve"> VVNH and FSC Nederland took the initiative to perform a life cycle assessment of several types of tropical timber used for pile planking. The project was financed by the European Sustainable Tropical Timber Coalition (EUSTTC), which also seeks to increase market share for sustainably produced timber. </w:t>
      </w:r>
      <w:proofErr w:type="spellStart"/>
      <w:r w:rsidRPr="00D0457E">
        <w:rPr>
          <w:lang w:val="en-GB"/>
        </w:rPr>
        <w:t>Koninklijke</w:t>
      </w:r>
      <w:proofErr w:type="spellEnd"/>
      <w:r w:rsidRPr="00D0457E">
        <w:rPr>
          <w:lang w:val="en-GB"/>
        </w:rPr>
        <w:t> VVNH led the project with the support of a supervisory committee made up of representatives from the timber trade and building industry. The LCA was performed by Ernst &amp; Young Cl</w:t>
      </w:r>
      <w:r w:rsidR="0044159A">
        <w:rPr>
          <w:lang w:val="en-GB"/>
        </w:rPr>
        <w:t>imate Change</w:t>
      </w:r>
      <w:r w:rsidRPr="00D0457E">
        <w:rPr>
          <w:lang w:val="en-GB"/>
        </w:rPr>
        <w:t> &amp; Sustainability Services (EY </w:t>
      </w:r>
      <w:proofErr w:type="spellStart"/>
      <w:r w:rsidRPr="00D0457E">
        <w:rPr>
          <w:lang w:val="en-GB"/>
        </w:rPr>
        <w:t>CaS</w:t>
      </w:r>
      <w:proofErr w:type="spellEnd"/>
      <w:r w:rsidRPr="00D0457E">
        <w:rPr>
          <w:lang w:val="en-GB"/>
        </w:rPr>
        <w:t xml:space="preserve">) and independently verified by the LCA department at </w:t>
      </w:r>
      <w:proofErr w:type="spellStart"/>
      <w:r w:rsidRPr="00D0457E">
        <w:rPr>
          <w:lang w:val="en-GB"/>
        </w:rPr>
        <w:t>Stichting</w:t>
      </w:r>
      <w:proofErr w:type="spellEnd"/>
      <w:r w:rsidRPr="00D0457E">
        <w:rPr>
          <w:lang w:val="en-GB"/>
        </w:rPr>
        <w:t> </w:t>
      </w:r>
      <w:proofErr w:type="spellStart"/>
      <w:r w:rsidRPr="00D0457E">
        <w:rPr>
          <w:lang w:val="en-GB"/>
        </w:rPr>
        <w:t>Houtresearch</w:t>
      </w:r>
      <w:proofErr w:type="spellEnd"/>
      <w:r w:rsidRPr="00D0457E">
        <w:rPr>
          <w:lang w:val="en-GB"/>
        </w:rPr>
        <w:t xml:space="preserve"> (SHR).</w:t>
      </w:r>
    </w:p>
    <w:p w:rsidR="00082D64" w:rsidRPr="00D0457E" w:rsidRDefault="00082D64" w:rsidP="00EF324F">
      <w:pPr>
        <w:spacing w:after="0"/>
        <w:rPr>
          <w:i/>
          <w:lang w:val="en-GB"/>
        </w:rPr>
      </w:pPr>
    </w:p>
    <w:p w:rsidR="00EF324F" w:rsidRPr="00D0457E" w:rsidRDefault="00E51C32" w:rsidP="00EF324F">
      <w:pPr>
        <w:spacing w:after="0"/>
        <w:rPr>
          <w:i/>
          <w:lang w:val="en-GB"/>
        </w:rPr>
      </w:pPr>
      <w:r w:rsidRPr="00D0457E">
        <w:rPr>
          <w:i/>
          <w:lang w:val="en-GB"/>
        </w:rPr>
        <w:t>Purpose</w:t>
      </w:r>
    </w:p>
    <w:p w:rsidR="00075DE9" w:rsidRPr="00D0457E" w:rsidRDefault="0044159A" w:rsidP="0044159A">
      <w:pPr>
        <w:spacing w:after="0"/>
        <w:rPr>
          <w:lang w:val="en-GB"/>
        </w:rPr>
      </w:pPr>
      <w:r>
        <w:rPr>
          <w:lang w:val="en-GB"/>
        </w:rPr>
        <w:t xml:space="preserve">The aim of the LCA was to: (1) </w:t>
      </w:r>
      <w:r w:rsidR="000B7CDC" w:rsidRPr="0044159A">
        <w:rPr>
          <w:lang w:val="en-GB"/>
        </w:rPr>
        <w:t>gain a better insight into environmental ratings for pile planking made from the for</w:t>
      </w:r>
      <w:r w:rsidRPr="0044159A">
        <w:rPr>
          <w:lang w:val="en-GB"/>
        </w:rPr>
        <w:t xml:space="preserve">emost types of tropical timber, </w:t>
      </w:r>
      <w:r>
        <w:rPr>
          <w:lang w:val="en-GB"/>
        </w:rPr>
        <w:t xml:space="preserve">(2) </w:t>
      </w:r>
      <w:r w:rsidR="000B7CDC" w:rsidRPr="0044159A">
        <w:rPr>
          <w:lang w:val="en-GB"/>
        </w:rPr>
        <w:t xml:space="preserve">make up-to-date environmental information available for inclusion in the </w:t>
      </w:r>
      <w:proofErr w:type="spellStart"/>
      <w:r w:rsidR="000B7CDC" w:rsidRPr="0044159A">
        <w:rPr>
          <w:i/>
          <w:lang w:val="en-GB"/>
        </w:rPr>
        <w:t>Nationale</w:t>
      </w:r>
      <w:proofErr w:type="spellEnd"/>
      <w:r w:rsidR="000B7CDC" w:rsidRPr="0044159A">
        <w:rPr>
          <w:i/>
          <w:lang w:val="en-GB"/>
        </w:rPr>
        <w:t> </w:t>
      </w:r>
      <w:proofErr w:type="spellStart"/>
      <w:r w:rsidR="000B7CDC" w:rsidRPr="0044159A">
        <w:rPr>
          <w:i/>
          <w:lang w:val="en-GB"/>
        </w:rPr>
        <w:t>Milieudatabase</w:t>
      </w:r>
      <w:proofErr w:type="spellEnd"/>
      <w:r w:rsidR="000B7CDC" w:rsidRPr="0044159A">
        <w:rPr>
          <w:i/>
          <w:lang w:val="en-GB"/>
        </w:rPr>
        <w:t> </w:t>
      </w:r>
      <w:r w:rsidR="000B7CDC" w:rsidRPr="0044159A">
        <w:rPr>
          <w:lang w:val="en-GB"/>
        </w:rPr>
        <w:t>(NMD) [National Environmental Database] and other international life cycle invento</w:t>
      </w:r>
      <w:r>
        <w:rPr>
          <w:lang w:val="en-GB"/>
        </w:rPr>
        <w:t xml:space="preserve">ry databases such as </w:t>
      </w:r>
      <w:proofErr w:type="spellStart"/>
      <w:r>
        <w:rPr>
          <w:lang w:val="en-GB"/>
        </w:rPr>
        <w:t>EcoInvent</w:t>
      </w:r>
      <w:proofErr w:type="spellEnd"/>
      <w:r>
        <w:rPr>
          <w:lang w:val="en-GB"/>
        </w:rPr>
        <w:t xml:space="preserve">, (3) </w:t>
      </w:r>
      <w:r w:rsidR="000B7CDC" w:rsidRPr="00D0457E">
        <w:rPr>
          <w:lang w:val="en-GB"/>
        </w:rPr>
        <w:t>promote the use of tropical hardwoods from sustainably managed forests by publishing and publicizin</w:t>
      </w:r>
      <w:r>
        <w:rPr>
          <w:lang w:val="en-GB"/>
        </w:rPr>
        <w:t>g their environmental profiles, and (4) t</w:t>
      </w:r>
      <w:r w:rsidR="000B7CDC" w:rsidRPr="00D0457E">
        <w:rPr>
          <w:lang w:val="en-GB"/>
        </w:rPr>
        <w:t>o identify any negative environmental impact issues for any of the materials in question.</w:t>
      </w:r>
    </w:p>
    <w:p w:rsidR="00082D64" w:rsidRPr="00D0457E" w:rsidRDefault="00082D64" w:rsidP="00EF324F">
      <w:pPr>
        <w:spacing w:after="0"/>
        <w:rPr>
          <w:i/>
          <w:lang w:val="en-GB"/>
        </w:rPr>
      </w:pPr>
    </w:p>
    <w:p w:rsidR="00EF324F" w:rsidRPr="00D0457E" w:rsidRDefault="004244F2" w:rsidP="00EF324F">
      <w:pPr>
        <w:spacing w:after="0"/>
        <w:rPr>
          <w:i/>
          <w:lang w:val="en-GB"/>
        </w:rPr>
      </w:pPr>
      <w:r w:rsidRPr="00D0457E">
        <w:rPr>
          <w:i/>
          <w:lang w:val="en-GB"/>
        </w:rPr>
        <w:t>Timber Pile Planking Specifications</w:t>
      </w:r>
    </w:p>
    <w:p w:rsidR="00075DE9" w:rsidRPr="00D0457E" w:rsidRDefault="00F73DC0" w:rsidP="00EF324F">
      <w:pPr>
        <w:spacing w:after="0"/>
        <w:rPr>
          <w:lang w:val="en-GB"/>
        </w:rPr>
      </w:pPr>
      <w:r w:rsidRPr="00D0457E">
        <w:rPr>
          <w:lang w:val="en-GB"/>
        </w:rPr>
        <w:t>The piling used for this LCA was made from 5 m long, 50 mm thick, tongue-and-groove planks supplied in varying widths and with timber waling (150 × 100 mm) secured by a steel nut and bolt, as commonly used in practical situations (</w:t>
      </w:r>
      <w:proofErr w:type="spellStart"/>
      <w:r w:rsidRPr="00D0457E">
        <w:rPr>
          <w:lang w:val="en-GB"/>
        </w:rPr>
        <w:t>Geobest</w:t>
      </w:r>
      <w:proofErr w:type="spellEnd"/>
      <w:r w:rsidRPr="00D0457E">
        <w:rPr>
          <w:lang w:val="en-GB"/>
        </w:rPr>
        <w:t xml:space="preserve">, 2015). The types of timber used as references were </w:t>
      </w:r>
      <w:proofErr w:type="spellStart"/>
      <w:r w:rsidRPr="00D0457E">
        <w:rPr>
          <w:lang w:val="en-GB"/>
        </w:rPr>
        <w:t>azobé</w:t>
      </w:r>
      <w:proofErr w:type="spellEnd"/>
      <w:r w:rsidRPr="00D0457E">
        <w:rPr>
          <w:lang w:val="en-GB"/>
        </w:rPr>
        <w:t xml:space="preserve">, </w:t>
      </w:r>
      <w:proofErr w:type="spellStart"/>
      <w:r w:rsidRPr="00D0457E">
        <w:rPr>
          <w:lang w:val="en-GB"/>
        </w:rPr>
        <w:t>okan</w:t>
      </w:r>
      <w:proofErr w:type="spellEnd"/>
      <w:r w:rsidRPr="00D0457E">
        <w:rPr>
          <w:lang w:val="en-GB"/>
        </w:rPr>
        <w:t xml:space="preserve"> and red </w:t>
      </w:r>
      <w:proofErr w:type="spellStart"/>
      <w:r w:rsidRPr="00D0457E">
        <w:rPr>
          <w:lang w:val="en-GB"/>
        </w:rPr>
        <w:t>angelim</w:t>
      </w:r>
      <w:proofErr w:type="spellEnd"/>
      <w:r w:rsidRPr="00D0457E">
        <w:rPr>
          <w:lang w:val="en-GB"/>
        </w:rPr>
        <w:t>.</w:t>
      </w:r>
    </w:p>
    <w:p w:rsidR="00EF324F" w:rsidRPr="00D0457E" w:rsidRDefault="00EF324F" w:rsidP="00EF324F">
      <w:pPr>
        <w:spacing w:after="0"/>
        <w:rPr>
          <w:i/>
          <w:lang w:val="en-GB"/>
        </w:rPr>
      </w:pPr>
    </w:p>
    <w:p w:rsidR="00EF324F" w:rsidRPr="00D0457E" w:rsidRDefault="00D10BFC" w:rsidP="00EF324F">
      <w:pPr>
        <w:spacing w:after="0"/>
        <w:rPr>
          <w:i/>
          <w:lang w:val="en-GB"/>
        </w:rPr>
      </w:pPr>
      <w:r w:rsidRPr="00D0457E">
        <w:rPr>
          <w:i/>
          <w:lang w:val="en-GB"/>
        </w:rPr>
        <w:t>Method</w:t>
      </w:r>
    </w:p>
    <w:p w:rsidR="00075DE9" w:rsidRPr="00D0457E" w:rsidRDefault="00904C4E" w:rsidP="00EF324F">
      <w:pPr>
        <w:spacing w:after="0"/>
        <w:rPr>
          <w:lang w:val="en-GB"/>
        </w:rPr>
      </w:pPr>
      <w:r w:rsidRPr="00D0457E">
        <w:rPr>
          <w:lang w:val="en-GB"/>
        </w:rPr>
        <w:t>This LCA satisfies the criteria specified in various national and international standards for performing life cycle assessments, as well as related environmental product declarations (EPDs) – NEN</w:t>
      </w:r>
      <w:r w:rsidRPr="00D0457E">
        <w:rPr>
          <w:lang w:val="en-GB"/>
        </w:rPr>
        <w:noBreakHyphen/>
        <w:t xml:space="preserve">EN 15804, </w:t>
      </w:r>
      <w:r w:rsidRPr="00D0457E">
        <w:rPr>
          <w:lang w:val="en-GB"/>
        </w:rPr>
        <w:lastRenderedPageBreak/>
        <w:t>NEN</w:t>
      </w:r>
      <w:r w:rsidRPr="00D0457E">
        <w:rPr>
          <w:lang w:val="en-GB"/>
        </w:rPr>
        <w:noBreakHyphen/>
        <w:t>ISO 14040, NEN</w:t>
      </w:r>
      <w:r w:rsidRPr="00D0457E">
        <w:rPr>
          <w:lang w:val="en-GB"/>
        </w:rPr>
        <w:noBreakHyphen/>
        <w:t>ISO 14044, NEN</w:t>
      </w:r>
      <w:r w:rsidRPr="00D0457E">
        <w:rPr>
          <w:lang w:val="en-GB"/>
        </w:rPr>
        <w:noBreakHyphen/>
        <w:t xml:space="preserve">ISO 14025 and </w:t>
      </w:r>
      <w:r w:rsidRPr="00D0457E">
        <w:rPr>
          <w:i/>
          <w:lang w:val="en-GB"/>
        </w:rPr>
        <w:t>Assessment Method: Environmental Performance for Construction &amp; Civil Engineering Works</w:t>
      </w:r>
      <w:r w:rsidRPr="00D0457E">
        <w:rPr>
          <w:lang w:val="en-GB"/>
        </w:rPr>
        <w:t xml:space="preserve"> (</w:t>
      </w:r>
      <w:proofErr w:type="spellStart"/>
      <w:r w:rsidRPr="00D0457E">
        <w:rPr>
          <w:lang w:val="en-GB"/>
        </w:rPr>
        <w:t>Stichting</w:t>
      </w:r>
      <w:proofErr w:type="spellEnd"/>
      <w:r w:rsidRPr="00D0457E">
        <w:rPr>
          <w:lang w:val="en-GB"/>
        </w:rPr>
        <w:t xml:space="preserve"> </w:t>
      </w:r>
      <w:proofErr w:type="spellStart"/>
      <w:r w:rsidRPr="00D0457E">
        <w:rPr>
          <w:lang w:val="en-GB"/>
        </w:rPr>
        <w:t>Bouwkwaliteit</w:t>
      </w:r>
      <w:proofErr w:type="spellEnd"/>
      <w:r w:rsidRPr="00D0457E">
        <w:rPr>
          <w:lang w:val="en-GB"/>
        </w:rPr>
        <w:t xml:space="preserve"> (SBK)).</w:t>
      </w:r>
    </w:p>
    <w:p w:rsidR="00EF324F" w:rsidRPr="00D0457E" w:rsidRDefault="00EF324F" w:rsidP="00EF324F">
      <w:pPr>
        <w:spacing w:after="0"/>
        <w:rPr>
          <w:i/>
          <w:lang w:val="en-GB"/>
        </w:rPr>
      </w:pPr>
    </w:p>
    <w:p w:rsidR="00EF324F" w:rsidRPr="00D0457E" w:rsidRDefault="00A94F87" w:rsidP="00EF324F">
      <w:pPr>
        <w:spacing w:after="0"/>
        <w:rPr>
          <w:i/>
          <w:lang w:val="en-GB"/>
        </w:rPr>
      </w:pPr>
      <w:r w:rsidRPr="00D0457E">
        <w:rPr>
          <w:i/>
          <w:lang w:val="en-GB"/>
        </w:rPr>
        <w:t>Data Sources &amp; Assumptions</w:t>
      </w:r>
    </w:p>
    <w:p w:rsidR="00075DE9" w:rsidRPr="00D0457E" w:rsidRDefault="00904C4E" w:rsidP="00EF324F">
      <w:pPr>
        <w:spacing w:after="0"/>
        <w:rPr>
          <w:lang w:val="en-GB"/>
        </w:rPr>
      </w:pPr>
      <w:r w:rsidRPr="00D0457E">
        <w:rPr>
          <w:lang w:val="en-GB"/>
        </w:rPr>
        <w:t xml:space="preserve">Data about timber pile planking throughout its life cycle was obtained from various VVNH-affiliated timber </w:t>
      </w:r>
      <w:r w:rsidR="0057463E">
        <w:rPr>
          <w:lang w:val="en-GB"/>
        </w:rPr>
        <w:t>yards</w:t>
      </w:r>
      <w:r w:rsidRPr="00D0457E">
        <w:rPr>
          <w:lang w:val="en-GB"/>
        </w:rPr>
        <w:t xml:space="preserve">, civil engineering contractors and clients. Field data relating to the countries of origin (logging, processing and transportation) was obtained from the leading suppliers of the types of timber being assessed. </w:t>
      </w:r>
      <w:proofErr w:type="spellStart"/>
      <w:r w:rsidRPr="00D0457E">
        <w:rPr>
          <w:i/>
          <w:iCs/>
          <w:lang w:val="en-GB"/>
        </w:rPr>
        <w:t>EcoInvent</w:t>
      </w:r>
      <w:proofErr w:type="spellEnd"/>
      <w:r w:rsidRPr="00D0457E">
        <w:rPr>
          <w:lang w:val="en-GB"/>
        </w:rPr>
        <w:t xml:space="preserve"> process data was also used. Where timber is transported by sea, it was assumed that 'slow steaming' practices had been adopted. A lifespan of thirty years was assumed as a reference, based on SBR publications about lifespan, practical experience and client criteria. The re-usability percentage for timber pile planking was set at 25%. The basic unit used for assessment purposes was a cubic metre (m³).</w:t>
      </w:r>
    </w:p>
    <w:p w:rsidR="00EF324F" w:rsidRPr="00D0457E" w:rsidRDefault="00EF324F" w:rsidP="00EF324F">
      <w:pPr>
        <w:spacing w:after="0"/>
        <w:rPr>
          <w:i/>
          <w:lang w:val="en-GB"/>
        </w:rPr>
      </w:pPr>
    </w:p>
    <w:p w:rsidR="00EF324F" w:rsidRPr="00D0457E" w:rsidRDefault="003E5178" w:rsidP="00EF324F">
      <w:pPr>
        <w:spacing w:after="0"/>
        <w:rPr>
          <w:i/>
          <w:lang w:val="en-GB"/>
        </w:rPr>
      </w:pPr>
      <w:r w:rsidRPr="00D0457E">
        <w:rPr>
          <w:i/>
          <w:lang w:val="en-GB"/>
        </w:rPr>
        <w:t>Environmental Impact</w:t>
      </w:r>
    </w:p>
    <w:p w:rsidR="00075DE9" w:rsidRPr="00D0457E" w:rsidRDefault="0070036F" w:rsidP="00EF324F">
      <w:pPr>
        <w:spacing w:after="0"/>
        <w:rPr>
          <w:lang w:val="en-GB"/>
        </w:rPr>
      </w:pPr>
      <w:r w:rsidRPr="00D0457E">
        <w:rPr>
          <w:lang w:val="en-GB"/>
        </w:rPr>
        <w:t xml:space="preserve">The charts below depict sustainability ratings for pile planking made from each type of timber and expressed as an </w:t>
      </w:r>
      <w:r w:rsidRPr="00D0457E">
        <w:rPr>
          <w:i/>
          <w:iCs/>
          <w:lang w:val="en-GB"/>
        </w:rPr>
        <w:t>Environmental Cost Indicator</w:t>
      </w:r>
      <w:r w:rsidRPr="00D0457E">
        <w:rPr>
          <w:lang w:val="en-GB"/>
        </w:rPr>
        <w:t xml:space="preserve"> (ECI). Fig. 1 depicts the ECI score for each type of negative environmental impact.</w:t>
      </w:r>
    </w:p>
    <w:p w:rsidR="005650F1" w:rsidRPr="00D0457E" w:rsidRDefault="005650F1" w:rsidP="00086E51">
      <w:pPr>
        <w:keepNext/>
        <w:spacing w:before="100" w:beforeAutospacing="1" w:after="0" w:line="240" w:lineRule="auto"/>
        <w:jc w:val="both"/>
        <w:rPr>
          <w:lang w:val="en-GB"/>
        </w:rPr>
      </w:pPr>
      <w:bookmarkStart w:id="1" w:name="_Toc445123424"/>
      <w:r w:rsidRPr="00D0457E">
        <w:rPr>
          <w:noProof/>
        </w:rPr>
        <w:drawing>
          <wp:inline distT="0" distB="0" distL="0" distR="0" wp14:anchorId="738159B8" wp14:editId="445BCC66">
            <wp:extent cx="5760720" cy="2451215"/>
            <wp:effectExtent l="19050" t="0" r="0" b="0"/>
            <wp:docPr id="1" name="Afbeelding 7" descr="C:\Users\Astrid\AppData\Local\Microsoft\Windows\Temporary Internet Files\Content.Word\Figuu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trid\AppData\Local\Microsoft\Windows\Temporary Internet Files\Content.Word\Figuur 1.jpg"/>
                    <pic:cNvPicPr>
                      <a:picLocks noChangeAspect="1" noChangeArrowheads="1"/>
                    </pic:cNvPicPr>
                  </pic:nvPicPr>
                  <pic:blipFill>
                    <a:blip r:embed="rId9" cstate="print"/>
                    <a:srcRect/>
                    <a:stretch>
                      <a:fillRect/>
                    </a:stretch>
                  </pic:blipFill>
                  <pic:spPr bwMode="auto">
                    <a:xfrm>
                      <a:off x="0" y="0"/>
                      <a:ext cx="5760720" cy="2451215"/>
                    </a:xfrm>
                    <a:prstGeom prst="rect">
                      <a:avLst/>
                    </a:prstGeom>
                    <a:noFill/>
                    <a:ln w="9525">
                      <a:noFill/>
                      <a:miter lim="800000"/>
                      <a:headEnd/>
                      <a:tailEnd/>
                    </a:ln>
                  </pic:spPr>
                </pic:pic>
              </a:graphicData>
            </a:graphic>
          </wp:inline>
        </w:drawing>
      </w:r>
    </w:p>
    <w:p w:rsidR="00181058" w:rsidRPr="00D0457E" w:rsidRDefault="00FB3879" w:rsidP="00086E51">
      <w:pPr>
        <w:pStyle w:val="Bijschrift"/>
        <w:spacing w:before="0" w:after="100" w:afterAutospacing="1" w:line="276" w:lineRule="auto"/>
        <w:rPr>
          <w:rFonts w:asciiTheme="minorHAnsi" w:hAnsiTheme="minorHAnsi"/>
          <w:lang w:val="en-GB"/>
        </w:rPr>
      </w:pPr>
      <w:r w:rsidRPr="00D0457E">
        <w:rPr>
          <w:rFonts w:asciiTheme="minorHAnsi" w:hAnsiTheme="minorHAnsi"/>
          <w:lang w:val="en-GB"/>
        </w:rPr>
        <w:t xml:space="preserve">Fig. 1: ECI score summary for 1 m³ of </w:t>
      </w:r>
      <w:proofErr w:type="spellStart"/>
      <w:r w:rsidRPr="00D0457E">
        <w:rPr>
          <w:rFonts w:asciiTheme="minorHAnsi" w:hAnsiTheme="minorHAnsi"/>
          <w:lang w:val="en-GB"/>
        </w:rPr>
        <w:t>azobé</w:t>
      </w:r>
      <w:proofErr w:type="spellEnd"/>
      <w:r w:rsidRPr="00D0457E">
        <w:rPr>
          <w:rFonts w:asciiTheme="minorHAnsi" w:hAnsiTheme="minorHAnsi"/>
          <w:lang w:val="en-GB"/>
        </w:rPr>
        <w:t xml:space="preserve">, </w:t>
      </w:r>
      <w:proofErr w:type="spellStart"/>
      <w:r w:rsidRPr="00D0457E">
        <w:rPr>
          <w:rFonts w:asciiTheme="minorHAnsi" w:hAnsiTheme="minorHAnsi"/>
          <w:lang w:val="en-GB"/>
        </w:rPr>
        <w:t>okan</w:t>
      </w:r>
      <w:proofErr w:type="spellEnd"/>
      <w:r w:rsidRPr="00D0457E">
        <w:rPr>
          <w:rFonts w:asciiTheme="minorHAnsi" w:hAnsiTheme="minorHAnsi"/>
          <w:lang w:val="en-GB"/>
        </w:rPr>
        <w:t xml:space="preserve"> and red </w:t>
      </w:r>
      <w:proofErr w:type="spellStart"/>
      <w:r w:rsidRPr="00D0457E">
        <w:rPr>
          <w:rFonts w:asciiTheme="minorHAnsi" w:hAnsiTheme="minorHAnsi"/>
          <w:lang w:val="en-GB"/>
        </w:rPr>
        <w:t>angelim</w:t>
      </w:r>
      <w:proofErr w:type="spellEnd"/>
      <w:r w:rsidRPr="00D0457E">
        <w:rPr>
          <w:rFonts w:asciiTheme="minorHAnsi" w:hAnsiTheme="minorHAnsi"/>
          <w:lang w:val="en-GB"/>
        </w:rPr>
        <w:t xml:space="preserve"> pile planking with lifespan of 30 years for selected structural scenario</w:t>
      </w:r>
      <w:bookmarkEnd w:id="1"/>
    </w:p>
    <w:p w:rsidR="005650F1" w:rsidRPr="00D0457E" w:rsidRDefault="007410E3" w:rsidP="00086E51">
      <w:pPr>
        <w:keepNext/>
        <w:spacing w:before="100" w:beforeAutospacing="1" w:after="0" w:line="240" w:lineRule="auto"/>
        <w:contextualSpacing/>
        <w:jc w:val="both"/>
        <w:rPr>
          <w:lang w:val="en-GB"/>
        </w:rPr>
      </w:pPr>
      <w:bookmarkStart w:id="2" w:name="_Toc445123425"/>
      <w:r>
        <w:rPr>
          <w:noProof/>
        </w:rPr>
        <w:drawing>
          <wp:inline distT="0" distB="0" distL="0" distR="0">
            <wp:extent cx="4524375" cy="183832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4375" cy="1838325"/>
                    </a:xfrm>
                    <a:prstGeom prst="rect">
                      <a:avLst/>
                    </a:prstGeom>
                    <a:noFill/>
                    <a:ln>
                      <a:noFill/>
                    </a:ln>
                  </pic:spPr>
                </pic:pic>
              </a:graphicData>
            </a:graphic>
          </wp:inline>
        </w:drawing>
      </w:r>
    </w:p>
    <w:p w:rsidR="00776FD4" w:rsidRPr="00D0457E" w:rsidRDefault="00776FD4" w:rsidP="00086E51">
      <w:pPr>
        <w:pStyle w:val="Bijschrift"/>
        <w:spacing w:before="0" w:after="100" w:afterAutospacing="1" w:line="276" w:lineRule="auto"/>
        <w:jc w:val="both"/>
        <w:rPr>
          <w:rFonts w:asciiTheme="minorHAnsi" w:hAnsiTheme="minorHAnsi"/>
          <w:szCs w:val="18"/>
          <w:lang w:val="en-GB"/>
        </w:rPr>
      </w:pPr>
      <w:r w:rsidRPr="00D0457E">
        <w:rPr>
          <w:rFonts w:asciiTheme="minorHAnsi" w:hAnsiTheme="minorHAnsi"/>
          <w:szCs w:val="18"/>
          <w:lang w:val="en-GB"/>
        </w:rPr>
        <w:t xml:space="preserve">Fig. 2: Total ECI score for 1 m³ of </w:t>
      </w:r>
      <w:proofErr w:type="spellStart"/>
      <w:r w:rsidRPr="00D0457E">
        <w:rPr>
          <w:rFonts w:asciiTheme="minorHAnsi" w:hAnsiTheme="minorHAnsi"/>
          <w:szCs w:val="18"/>
          <w:lang w:val="en-GB"/>
        </w:rPr>
        <w:t>azobé</w:t>
      </w:r>
      <w:proofErr w:type="spellEnd"/>
      <w:r w:rsidRPr="00D0457E">
        <w:rPr>
          <w:rFonts w:asciiTheme="minorHAnsi" w:hAnsiTheme="minorHAnsi"/>
          <w:szCs w:val="18"/>
          <w:lang w:val="en-GB"/>
        </w:rPr>
        <w:t xml:space="preserve">, </w:t>
      </w:r>
      <w:proofErr w:type="spellStart"/>
      <w:r w:rsidRPr="00D0457E">
        <w:rPr>
          <w:rFonts w:asciiTheme="minorHAnsi" w:hAnsiTheme="minorHAnsi"/>
          <w:szCs w:val="18"/>
          <w:lang w:val="en-GB"/>
        </w:rPr>
        <w:t>okan</w:t>
      </w:r>
      <w:proofErr w:type="spellEnd"/>
      <w:r w:rsidRPr="00D0457E">
        <w:rPr>
          <w:rFonts w:asciiTheme="minorHAnsi" w:hAnsiTheme="minorHAnsi"/>
          <w:szCs w:val="18"/>
          <w:lang w:val="en-GB"/>
        </w:rPr>
        <w:t xml:space="preserve"> and red </w:t>
      </w:r>
      <w:proofErr w:type="spellStart"/>
      <w:r w:rsidRPr="00D0457E">
        <w:rPr>
          <w:rFonts w:asciiTheme="minorHAnsi" w:hAnsiTheme="minorHAnsi"/>
          <w:szCs w:val="18"/>
          <w:lang w:val="en-GB"/>
        </w:rPr>
        <w:t>angelim</w:t>
      </w:r>
      <w:proofErr w:type="spellEnd"/>
      <w:r w:rsidRPr="00D0457E">
        <w:rPr>
          <w:rFonts w:asciiTheme="minorHAnsi" w:hAnsiTheme="minorHAnsi"/>
          <w:szCs w:val="18"/>
          <w:lang w:val="en-GB"/>
        </w:rPr>
        <w:t xml:space="preserve"> pile planking with lifespan of 30 years for selected structural scenario</w:t>
      </w:r>
      <w:bookmarkEnd w:id="2"/>
    </w:p>
    <w:p w:rsidR="00EF324F" w:rsidRPr="00D0457E" w:rsidRDefault="00993A73" w:rsidP="00EF324F">
      <w:pPr>
        <w:spacing w:after="0"/>
        <w:rPr>
          <w:i/>
          <w:lang w:val="en-GB"/>
        </w:rPr>
      </w:pPr>
      <w:r w:rsidRPr="00D0457E">
        <w:rPr>
          <w:i/>
          <w:lang w:val="en-GB"/>
        </w:rPr>
        <w:lastRenderedPageBreak/>
        <w:t>Conclusions</w:t>
      </w:r>
    </w:p>
    <w:p w:rsidR="00EF324F" w:rsidRPr="00D0457E" w:rsidRDefault="00B128A6" w:rsidP="00EF324F">
      <w:pPr>
        <w:spacing w:after="0"/>
        <w:rPr>
          <w:lang w:val="en-GB"/>
        </w:rPr>
      </w:pPr>
      <w:r w:rsidRPr="00D0457E">
        <w:rPr>
          <w:lang w:val="en-GB"/>
        </w:rPr>
        <w:t xml:space="preserve">Transporting pile planking to the Netherlands contributes the most towards </w:t>
      </w:r>
      <w:proofErr w:type="spellStart"/>
      <w:r w:rsidRPr="00D0457E">
        <w:rPr>
          <w:lang w:val="en-GB"/>
        </w:rPr>
        <w:t>azobé</w:t>
      </w:r>
      <w:proofErr w:type="spellEnd"/>
      <w:r w:rsidRPr="00D0457E">
        <w:rPr>
          <w:lang w:val="en-GB"/>
        </w:rPr>
        <w:t xml:space="preserve"> and </w:t>
      </w:r>
      <w:proofErr w:type="spellStart"/>
      <w:r w:rsidRPr="00D0457E">
        <w:rPr>
          <w:lang w:val="en-GB"/>
        </w:rPr>
        <w:t>okan's</w:t>
      </w:r>
      <w:proofErr w:type="spellEnd"/>
      <w:r w:rsidRPr="00D0457E">
        <w:rPr>
          <w:lang w:val="en-GB"/>
        </w:rPr>
        <w:t xml:space="preserve"> ECI scores in relative terms, and the most to red </w:t>
      </w:r>
      <w:proofErr w:type="spellStart"/>
      <w:r w:rsidRPr="00D0457E">
        <w:rPr>
          <w:lang w:val="en-GB"/>
        </w:rPr>
        <w:t>angelim's</w:t>
      </w:r>
      <w:proofErr w:type="spellEnd"/>
      <w:r w:rsidRPr="00D0457E">
        <w:rPr>
          <w:lang w:val="en-GB"/>
        </w:rPr>
        <w:t xml:space="preserve"> in absolute terms. Constructing and dismantling pile planking structures also contribute a significant portion. Energy and heat recovery, however, make a large positive contribution (credits) in terms of eco-friendliness. The data for the environmental profiles illustrated will be incorporated into the NMD. The total ECI score is shown in Fig. 2.</w:t>
      </w:r>
    </w:p>
    <w:p w:rsidR="00EF324F" w:rsidRPr="00D0457E" w:rsidRDefault="00EF324F" w:rsidP="00EF324F">
      <w:pPr>
        <w:spacing w:after="0"/>
        <w:rPr>
          <w:lang w:val="en-GB"/>
        </w:rPr>
      </w:pPr>
    </w:p>
    <w:p w:rsidR="007B376F" w:rsidRPr="00D0457E" w:rsidRDefault="007C7D99" w:rsidP="007410E3">
      <w:pPr>
        <w:spacing w:after="0"/>
        <w:rPr>
          <w:lang w:val="en-GB"/>
        </w:rPr>
      </w:pPr>
      <w:r w:rsidRPr="00D0457E">
        <w:rPr>
          <w:lang w:val="en-GB"/>
        </w:rPr>
        <w:t>Sensitivity analyses revealed that the variables that have the greatest effect are:</w:t>
      </w:r>
      <w:r w:rsidR="007410E3">
        <w:rPr>
          <w:lang w:val="en-GB"/>
        </w:rPr>
        <w:t xml:space="preserve"> (1) </w:t>
      </w:r>
      <w:r w:rsidRPr="00D0457E">
        <w:rPr>
          <w:lang w:val="en-GB"/>
        </w:rPr>
        <w:t>recycled percentage</w:t>
      </w:r>
      <w:r w:rsidR="007410E3">
        <w:rPr>
          <w:lang w:val="en-GB"/>
        </w:rPr>
        <w:t xml:space="preserve">, (2) </w:t>
      </w:r>
      <w:r w:rsidRPr="00D0457E">
        <w:rPr>
          <w:lang w:val="en-GB"/>
        </w:rPr>
        <w:t>slow steaming</w:t>
      </w:r>
      <w:r w:rsidR="007410E3">
        <w:rPr>
          <w:lang w:val="en-GB"/>
        </w:rPr>
        <w:t xml:space="preserve">, (3) </w:t>
      </w:r>
      <w:r w:rsidRPr="00D0457E">
        <w:rPr>
          <w:lang w:val="en-GB"/>
        </w:rPr>
        <w:t>distance to supplier</w:t>
      </w:r>
      <w:r w:rsidR="007410E3">
        <w:rPr>
          <w:lang w:val="en-GB"/>
        </w:rPr>
        <w:t xml:space="preserve">, and (4) </w:t>
      </w:r>
      <w:r w:rsidRPr="00D0457E">
        <w:rPr>
          <w:lang w:val="en-GB"/>
        </w:rPr>
        <w:t>method for attributing utilization of non-reusable pile planking parts for energy recovery purposes and by resellers during waste phase</w:t>
      </w:r>
      <w:r w:rsidR="007410E3">
        <w:rPr>
          <w:lang w:val="en-GB"/>
        </w:rPr>
        <w:t>.</w:t>
      </w:r>
      <w:r w:rsidRPr="00D0457E">
        <w:rPr>
          <w:lang w:val="en-GB"/>
        </w:rPr>
        <w:t xml:space="preserve"> </w:t>
      </w:r>
    </w:p>
    <w:p w:rsidR="007B376F" w:rsidRPr="00D0457E" w:rsidRDefault="007B376F" w:rsidP="007B376F">
      <w:pPr>
        <w:pStyle w:val="Lijstalinea"/>
        <w:spacing w:after="0"/>
        <w:ind w:left="0"/>
        <w:rPr>
          <w:lang w:val="en-GB"/>
        </w:rPr>
      </w:pPr>
    </w:p>
    <w:p w:rsidR="00075DE9" w:rsidRPr="00D0457E" w:rsidRDefault="007C7D99" w:rsidP="007B376F">
      <w:pPr>
        <w:pStyle w:val="Lijstalinea"/>
        <w:spacing w:after="0"/>
        <w:ind w:left="0"/>
        <w:rPr>
          <w:lang w:val="en-GB"/>
        </w:rPr>
      </w:pPr>
      <w:r w:rsidRPr="00D0457E">
        <w:rPr>
          <w:lang w:val="en-GB"/>
        </w:rPr>
        <w:t>This LCA was based on the current energy mix</w:t>
      </w:r>
      <w:r w:rsidR="007410E3">
        <w:rPr>
          <w:lang w:val="en-GB"/>
        </w:rPr>
        <w:t xml:space="preserve"> in the Netherlands</w:t>
      </w:r>
      <w:r w:rsidRPr="00D0457E">
        <w:rPr>
          <w:lang w:val="en-GB"/>
        </w:rPr>
        <w:t>, which may be changed to a less fossil-fuel based composition in the waste phase, meaning that timber products would receive fewer credits.</w:t>
      </w:r>
    </w:p>
    <w:p w:rsidR="00EF324F" w:rsidRPr="00D0457E" w:rsidRDefault="00EF324F" w:rsidP="00EF324F">
      <w:pPr>
        <w:spacing w:after="0"/>
        <w:rPr>
          <w:lang w:val="en-GB"/>
        </w:rPr>
      </w:pPr>
    </w:p>
    <w:p w:rsidR="00EF324F" w:rsidRPr="00D0457E" w:rsidRDefault="00776FD4" w:rsidP="00EF324F">
      <w:pPr>
        <w:spacing w:after="0"/>
        <w:rPr>
          <w:i/>
          <w:lang w:val="en-GB"/>
        </w:rPr>
      </w:pPr>
      <w:r w:rsidRPr="00D0457E">
        <w:rPr>
          <w:i/>
          <w:lang w:val="en-GB"/>
        </w:rPr>
        <w:t>Recommendations</w:t>
      </w:r>
    </w:p>
    <w:p w:rsidR="00075DE9" w:rsidRPr="00D0457E" w:rsidRDefault="00B960CE" w:rsidP="00EF324F">
      <w:pPr>
        <w:spacing w:after="0"/>
        <w:rPr>
          <w:lang w:val="en-GB"/>
        </w:rPr>
      </w:pPr>
      <w:r w:rsidRPr="00D0457E">
        <w:rPr>
          <w:lang w:val="en-GB"/>
        </w:rPr>
        <w:t xml:space="preserve">The foremost recommendation entails minimizing the negative environmental impact caused by transportation. This could be achieved by changing fuel types, modes of transport, distances, etc. This could even result in additional credits for timber, as energy can be recovered during incineration that replaces the use of coal, oil and gas. If transportation-related measures cannot be adequately addressed, it is recommended that pile planking lifespan be prolonged and </w:t>
      </w:r>
      <w:proofErr w:type="spellStart"/>
      <w:r w:rsidRPr="00D0457E">
        <w:rPr>
          <w:lang w:val="en-GB"/>
        </w:rPr>
        <w:t>reusage</w:t>
      </w:r>
      <w:proofErr w:type="spellEnd"/>
      <w:r w:rsidRPr="00D0457E">
        <w:rPr>
          <w:lang w:val="en-GB"/>
        </w:rPr>
        <w:t xml:space="preserve"> be increased.</w:t>
      </w:r>
    </w:p>
    <w:p w:rsidR="00EF324F" w:rsidRPr="00D0457E" w:rsidRDefault="00EF324F" w:rsidP="00082D64">
      <w:pPr>
        <w:spacing w:after="0"/>
        <w:rPr>
          <w:lang w:val="en-GB"/>
        </w:rPr>
      </w:pPr>
    </w:p>
    <w:p w:rsidR="00EF324F" w:rsidRPr="00D0457E" w:rsidRDefault="00BC2513">
      <w:pPr>
        <w:rPr>
          <w:b/>
          <w:bCs/>
          <w:sz w:val="24"/>
          <w:szCs w:val="24"/>
          <w:lang w:val="en-GB"/>
        </w:rPr>
      </w:pPr>
      <w:r w:rsidRPr="00D65DE2">
        <w:rPr>
          <w:b/>
          <w:bCs/>
          <w:noProof/>
          <w:sz w:val="24"/>
          <w:szCs w:val="24"/>
        </w:rPr>
        <w:drawing>
          <wp:anchor distT="0" distB="0" distL="114300" distR="114300" simplePos="0" relativeHeight="251663360" behindDoc="0" locked="0" layoutInCell="1" allowOverlap="1" wp14:anchorId="13DB3DC0" wp14:editId="5CDC9FAD">
            <wp:simplePos x="0" y="0"/>
            <wp:positionH relativeFrom="column">
              <wp:posOffset>2767330</wp:posOffset>
            </wp:positionH>
            <wp:positionV relativeFrom="paragraph">
              <wp:posOffset>3646805</wp:posOffset>
            </wp:positionV>
            <wp:extent cx="1752600" cy="1016000"/>
            <wp:effectExtent l="0" t="0" r="0" b="0"/>
            <wp:wrapSquare wrapText="bothSides"/>
            <wp:docPr id="9" name="Afbeelding 9" descr="Forests For All Forever (© FSC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ests For All Forever (© FSC A.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26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5DE2">
        <w:rPr>
          <w:b/>
          <w:bCs/>
          <w:noProof/>
          <w:sz w:val="24"/>
          <w:szCs w:val="24"/>
        </w:rPr>
        <w:drawing>
          <wp:anchor distT="0" distB="0" distL="114300" distR="114300" simplePos="0" relativeHeight="251664384" behindDoc="0" locked="0" layoutInCell="1" allowOverlap="1" wp14:anchorId="79DCD1BC" wp14:editId="276707BE">
            <wp:simplePos x="0" y="0"/>
            <wp:positionH relativeFrom="column">
              <wp:posOffset>4919980</wp:posOffset>
            </wp:positionH>
            <wp:positionV relativeFrom="paragraph">
              <wp:posOffset>3588385</wp:posOffset>
            </wp:positionV>
            <wp:extent cx="913765" cy="1074420"/>
            <wp:effectExtent l="0" t="0" r="635"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3765" cy="1074420"/>
                    </a:xfrm>
                    <a:prstGeom prst="rect">
                      <a:avLst/>
                    </a:prstGeom>
                    <a:noFill/>
                  </pic:spPr>
                </pic:pic>
              </a:graphicData>
            </a:graphic>
            <wp14:sizeRelH relativeFrom="page">
              <wp14:pctWidth>0</wp14:pctWidth>
            </wp14:sizeRelH>
            <wp14:sizeRelV relativeFrom="page">
              <wp14:pctHeight>0</wp14:pctHeight>
            </wp14:sizeRelV>
          </wp:anchor>
        </w:drawing>
      </w:r>
      <w:r w:rsidRPr="00D65DE2">
        <w:rPr>
          <w:b/>
          <w:bCs/>
          <w:noProof/>
          <w:sz w:val="24"/>
          <w:szCs w:val="24"/>
        </w:rPr>
        <w:drawing>
          <wp:anchor distT="0" distB="0" distL="114300" distR="114300" simplePos="0" relativeHeight="251665408" behindDoc="0" locked="0" layoutInCell="1" allowOverlap="1" wp14:anchorId="3C4B4B17" wp14:editId="2F8C93BD">
            <wp:simplePos x="0" y="0"/>
            <wp:positionH relativeFrom="column">
              <wp:posOffset>1548130</wp:posOffset>
            </wp:positionH>
            <wp:positionV relativeFrom="paragraph">
              <wp:posOffset>3653155</wp:posOffset>
            </wp:positionV>
            <wp:extent cx="1000125" cy="1000125"/>
            <wp:effectExtent l="0" t="0" r="9525" b="952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 - VVNH logo koninklij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14:sizeRelH relativeFrom="page">
              <wp14:pctWidth>0</wp14:pctWidth>
            </wp14:sizeRelH>
            <wp14:sizeRelV relativeFrom="page">
              <wp14:pctHeight>0</wp14:pctHeight>
            </wp14:sizeRelV>
          </wp:anchor>
        </w:drawing>
      </w:r>
      <w:r w:rsidRPr="00D65DE2">
        <w:rPr>
          <w:b/>
          <w:bCs/>
          <w:noProof/>
          <w:sz w:val="24"/>
          <w:szCs w:val="24"/>
        </w:rPr>
        <w:drawing>
          <wp:anchor distT="0" distB="0" distL="114300" distR="114300" simplePos="0" relativeHeight="251666432" behindDoc="0" locked="0" layoutInCell="1" allowOverlap="1" wp14:anchorId="18AC413D" wp14:editId="234F826D">
            <wp:simplePos x="0" y="0"/>
            <wp:positionH relativeFrom="column">
              <wp:posOffset>243205</wp:posOffset>
            </wp:positionH>
            <wp:positionV relativeFrom="paragraph">
              <wp:posOffset>4237990</wp:posOffset>
            </wp:positionV>
            <wp:extent cx="732155" cy="424815"/>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STTC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2155" cy="424815"/>
                    </a:xfrm>
                    <a:prstGeom prst="rect">
                      <a:avLst/>
                    </a:prstGeom>
                  </pic:spPr>
                </pic:pic>
              </a:graphicData>
            </a:graphic>
            <wp14:sizeRelH relativeFrom="page">
              <wp14:pctWidth>0</wp14:pctWidth>
            </wp14:sizeRelH>
            <wp14:sizeRelV relativeFrom="page">
              <wp14:pctHeight>0</wp14:pctHeight>
            </wp14:sizeRelV>
          </wp:anchor>
        </w:drawing>
      </w:r>
      <w:r w:rsidR="00EF324F" w:rsidRPr="00D0457E">
        <w:rPr>
          <w:b/>
          <w:bCs/>
          <w:sz w:val="24"/>
          <w:szCs w:val="24"/>
          <w:lang w:val="en-GB"/>
        </w:rPr>
        <w:br w:type="page"/>
      </w:r>
    </w:p>
    <w:p w:rsidR="00A973F6" w:rsidRPr="007410E3" w:rsidRDefault="005C023F" w:rsidP="004D3853">
      <w:pPr>
        <w:spacing w:before="100" w:beforeAutospacing="1" w:after="100" w:afterAutospacing="1"/>
        <w:contextualSpacing/>
        <w:rPr>
          <w:b/>
          <w:sz w:val="32"/>
          <w:szCs w:val="32"/>
          <w:lang w:val="en-GB"/>
        </w:rPr>
      </w:pPr>
      <w:r w:rsidRPr="007410E3">
        <w:rPr>
          <w:b/>
          <w:bCs/>
          <w:sz w:val="32"/>
          <w:szCs w:val="32"/>
          <w:lang w:val="en-GB"/>
        </w:rPr>
        <w:lastRenderedPageBreak/>
        <w:t>Exploratory Life Cycle Assessment – Comparison of Timber, Steel and Plastic Sheet Piling</w:t>
      </w:r>
    </w:p>
    <w:p w:rsidR="00082D64" w:rsidRPr="00D0457E" w:rsidRDefault="00993A73" w:rsidP="00082D64">
      <w:pPr>
        <w:spacing w:after="0"/>
        <w:rPr>
          <w:sz w:val="24"/>
          <w:szCs w:val="24"/>
          <w:lang w:val="en-GB"/>
        </w:rPr>
      </w:pPr>
      <w:r w:rsidRPr="00D0457E">
        <w:rPr>
          <w:sz w:val="24"/>
          <w:szCs w:val="24"/>
          <w:lang w:val="en-GB"/>
        </w:rPr>
        <w:t>Executive Summary</w:t>
      </w:r>
      <w:r w:rsidR="007410E3">
        <w:rPr>
          <w:sz w:val="24"/>
          <w:szCs w:val="24"/>
          <w:lang w:val="en-GB"/>
        </w:rPr>
        <w:br/>
      </w:r>
    </w:p>
    <w:p w:rsidR="00082D64" w:rsidRPr="00D0457E" w:rsidRDefault="00993A73" w:rsidP="00082D64">
      <w:pPr>
        <w:spacing w:after="0"/>
        <w:rPr>
          <w:i/>
          <w:lang w:val="en-GB"/>
        </w:rPr>
      </w:pPr>
      <w:r w:rsidRPr="00D0457E">
        <w:rPr>
          <w:i/>
          <w:lang w:val="en-GB"/>
        </w:rPr>
        <w:t>Introduction</w:t>
      </w:r>
    </w:p>
    <w:p w:rsidR="00075DE9" w:rsidRPr="00D0457E" w:rsidRDefault="00993A73" w:rsidP="00082D64">
      <w:pPr>
        <w:spacing w:after="0"/>
        <w:rPr>
          <w:lang w:val="en-GB"/>
        </w:rPr>
      </w:pPr>
      <w:r w:rsidRPr="00D0457E">
        <w:rPr>
          <w:lang w:val="en-GB"/>
        </w:rPr>
        <w:t xml:space="preserve">Pile planking is a major market for sustainably produced tropical timber. However, despite its positive and eco-friendly properties, timber is facing stiff and increasing competition from steel and plastic (both virgin and recycled). This prompted an official study into environmental ratings for timber pile planking made from the three most commonly used and sustainably produced tropical hardwoods. A separate exploratory study was also conducted to compare environmental ratings for timber pile planking with those for steel and plastic (virgin and recycled) sheet piling. </w:t>
      </w:r>
      <w:r w:rsidR="007410E3">
        <w:rPr>
          <w:lang w:val="en-GB"/>
        </w:rPr>
        <w:t>The data on timber</w:t>
      </w:r>
      <w:r w:rsidRPr="00D0457E">
        <w:rPr>
          <w:lang w:val="en-GB"/>
        </w:rPr>
        <w:t xml:space="preserve"> was obtained from the study titled </w:t>
      </w:r>
      <w:r w:rsidRPr="00D0457E">
        <w:rPr>
          <w:i/>
          <w:iCs/>
          <w:lang w:val="en-GB"/>
        </w:rPr>
        <w:t>Life Cycle Assessment of Several Types of Tropical Timber Used for Pile Planking</w:t>
      </w:r>
      <w:r w:rsidRPr="00D0457E">
        <w:rPr>
          <w:lang w:val="en-GB"/>
        </w:rPr>
        <w:t xml:space="preserve"> (February 2016).</w:t>
      </w:r>
    </w:p>
    <w:p w:rsidR="00082D64" w:rsidRPr="00D0457E" w:rsidRDefault="00082D64" w:rsidP="00082D64">
      <w:pPr>
        <w:spacing w:after="0"/>
        <w:rPr>
          <w:lang w:val="en-GB"/>
        </w:rPr>
      </w:pPr>
    </w:p>
    <w:p w:rsidR="00EF324F" w:rsidRPr="00D0457E" w:rsidRDefault="004244F2" w:rsidP="00EF324F">
      <w:pPr>
        <w:spacing w:after="0"/>
        <w:rPr>
          <w:i/>
          <w:lang w:val="en-GB"/>
        </w:rPr>
      </w:pPr>
      <w:r w:rsidRPr="00D0457E">
        <w:rPr>
          <w:i/>
          <w:lang w:val="en-GB"/>
        </w:rPr>
        <w:t>Steel &amp; Plastic Pile Planking Specifications</w:t>
      </w:r>
    </w:p>
    <w:p w:rsidR="00082D64" w:rsidRPr="00D0457E" w:rsidRDefault="007F522C" w:rsidP="007410E3">
      <w:pPr>
        <w:spacing w:after="0"/>
        <w:rPr>
          <w:lang w:val="en-GB"/>
        </w:rPr>
      </w:pPr>
      <w:r w:rsidRPr="00D0457E">
        <w:rPr>
          <w:lang w:val="en-GB"/>
        </w:rPr>
        <w:t xml:space="preserve">The following reference cross-sections (see table) have been selected for steel and plastic sheet piling based on a geotechnical </w:t>
      </w:r>
      <w:r w:rsidR="007410E3">
        <w:rPr>
          <w:lang w:val="en-GB"/>
        </w:rPr>
        <w:t xml:space="preserve">analysis performed by </w:t>
      </w:r>
      <w:proofErr w:type="spellStart"/>
      <w:r w:rsidR="007410E3">
        <w:rPr>
          <w:lang w:val="en-GB"/>
        </w:rPr>
        <w:t>Geobest</w:t>
      </w:r>
      <w:proofErr w:type="spellEnd"/>
      <w:r w:rsidR="007410E3">
        <w:rPr>
          <w:lang w:val="en-GB"/>
        </w:rPr>
        <w:t xml:space="preserve"> - </w:t>
      </w:r>
      <w:r w:rsidRPr="00D0457E">
        <w:rPr>
          <w:lang w:val="en-GB"/>
        </w:rPr>
        <w:t>these, for reference purposes, being technically equivalent to the timber pile cross-sections used: steel: cold-rolled PW3030</w:t>
      </w:r>
      <w:r w:rsidR="007410E3">
        <w:rPr>
          <w:lang w:val="en-GB"/>
        </w:rPr>
        <w:t xml:space="preserve"> and </w:t>
      </w:r>
      <w:r w:rsidRPr="00D0457E">
        <w:rPr>
          <w:lang w:val="en-GB"/>
        </w:rPr>
        <w:t>plastic: GW 460/5.5 Omega</w:t>
      </w:r>
      <w:r w:rsidR="007410E3">
        <w:rPr>
          <w:lang w:val="en-GB"/>
        </w:rPr>
        <w:t xml:space="preserve">. </w:t>
      </w:r>
      <w:r w:rsidRPr="00D0457E">
        <w:rPr>
          <w:lang w:val="en-GB"/>
        </w:rPr>
        <w:t xml:space="preserve">Two compositions were assessed for plastic sheet piling: </w:t>
      </w:r>
      <w:r w:rsidR="007410E3">
        <w:rPr>
          <w:lang w:val="en-GB"/>
        </w:rPr>
        <w:t xml:space="preserve">(1) </w:t>
      </w:r>
      <w:r w:rsidRPr="00D0457E">
        <w:rPr>
          <w:lang w:val="en-GB"/>
        </w:rPr>
        <w:t>100% virgin</w:t>
      </w:r>
      <w:r w:rsidR="007410E3">
        <w:rPr>
          <w:lang w:val="en-GB"/>
        </w:rPr>
        <w:t xml:space="preserve">, and (2) </w:t>
      </w:r>
    </w:p>
    <w:p w:rsidR="00075DE9" w:rsidRPr="007410E3" w:rsidRDefault="007F522C" w:rsidP="007410E3">
      <w:pPr>
        <w:spacing w:after="0"/>
        <w:rPr>
          <w:lang w:val="en-GB"/>
        </w:rPr>
      </w:pPr>
      <w:r w:rsidRPr="007410E3">
        <w:rPr>
          <w:lang w:val="en-GB"/>
        </w:rPr>
        <w:t>100% recycled</w:t>
      </w:r>
    </w:p>
    <w:p w:rsidR="00082D64" w:rsidRPr="00D0457E" w:rsidRDefault="00082D64" w:rsidP="00082D64">
      <w:pPr>
        <w:pStyle w:val="Lijstalinea"/>
        <w:spacing w:after="0"/>
        <w:ind w:left="0"/>
        <w:rPr>
          <w:lang w:val="en-GB"/>
        </w:rPr>
      </w:pPr>
    </w:p>
    <w:p w:rsidR="00A973F6" w:rsidRPr="00D0457E" w:rsidRDefault="007F522C" w:rsidP="00EF324F">
      <w:pPr>
        <w:spacing w:after="0"/>
        <w:rPr>
          <w:i/>
          <w:lang w:val="en-GB"/>
        </w:rPr>
      </w:pPr>
      <w:r w:rsidRPr="00D0457E">
        <w:rPr>
          <w:i/>
          <w:lang w:val="en-GB"/>
        </w:rPr>
        <w:t>Method</w:t>
      </w:r>
    </w:p>
    <w:p w:rsidR="00075DE9" w:rsidRPr="00D0457E" w:rsidRDefault="007F522C" w:rsidP="00082D64">
      <w:pPr>
        <w:spacing w:after="0"/>
        <w:rPr>
          <w:lang w:val="en-GB"/>
        </w:rPr>
      </w:pPr>
      <w:r w:rsidRPr="00D0457E">
        <w:rPr>
          <w:lang w:val="en-GB"/>
        </w:rPr>
        <w:t xml:space="preserve">The environmental impact for steel and plastic sheet piling was determined in exactly the same way as for timber, complying with </w:t>
      </w:r>
      <w:proofErr w:type="spellStart"/>
      <w:r w:rsidRPr="00D0457E">
        <w:rPr>
          <w:lang w:val="en-GB"/>
        </w:rPr>
        <w:t>Stichting</w:t>
      </w:r>
      <w:proofErr w:type="spellEnd"/>
      <w:r w:rsidRPr="00D0457E">
        <w:rPr>
          <w:lang w:val="en-GB"/>
        </w:rPr>
        <w:t xml:space="preserve"> </w:t>
      </w:r>
      <w:proofErr w:type="spellStart"/>
      <w:r w:rsidRPr="00D0457E">
        <w:rPr>
          <w:lang w:val="en-GB"/>
        </w:rPr>
        <w:t>Bouwkwaliteit</w:t>
      </w:r>
      <w:proofErr w:type="spellEnd"/>
      <w:r w:rsidRPr="00D0457E">
        <w:rPr>
          <w:lang w:val="en-GB"/>
        </w:rPr>
        <w:t xml:space="preserve"> (SBK) criteria. Publicly available data was used. For practical reasons, it has been decided to designate this LCA comparing timber, steel and plastic as 'exploratory' rather than 'comparative', </w:t>
      </w:r>
      <w:r w:rsidR="007410E3">
        <w:rPr>
          <w:lang w:val="en-GB"/>
        </w:rPr>
        <w:t>as basis for a possible more extensive study</w:t>
      </w:r>
      <w:r w:rsidRPr="00D0457E">
        <w:rPr>
          <w:lang w:val="en-GB"/>
        </w:rPr>
        <w:t>.</w:t>
      </w:r>
    </w:p>
    <w:p w:rsidR="00082D64" w:rsidRPr="00D0457E" w:rsidRDefault="00082D64" w:rsidP="00082D64">
      <w:pPr>
        <w:spacing w:after="0"/>
        <w:rPr>
          <w:lang w:val="en-GB"/>
        </w:rPr>
      </w:pPr>
    </w:p>
    <w:p w:rsidR="00A973F6" w:rsidRPr="00D0457E" w:rsidRDefault="005C023F" w:rsidP="00EF324F">
      <w:pPr>
        <w:spacing w:after="0"/>
        <w:rPr>
          <w:i/>
          <w:lang w:val="en-GB"/>
        </w:rPr>
      </w:pPr>
      <w:r w:rsidRPr="00D0457E">
        <w:rPr>
          <w:i/>
          <w:lang w:val="en-GB"/>
        </w:rPr>
        <w:t>Purpose</w:t>
      </w:r>
    </w:p>
    <w:p w:rsidR="00075DE9" w:rsidRPr="00D0457E" w:rsidRDefault="00993A73" w:rsidP="007410E3">
      <w:pPr>
        <w:spacing w:after="0"/>
        <w:rPr>
          <w:lang w:val="en-GB"/>
        </w:rPr>
      </w:pPr>
      <w:r w:rsidRPr="00D0457E">
        <w:rPr>
          <w:lang w:val="en-GB"/>
        </w:rPr>
        <w:t>The aim of the LCA was</w:t>
      </w:r>
      <w:r w:rsidR="007410E3">
        <w:rPr>
          <w:lang w:val="en-GB"/>
        </w:rPr>
        <w:t xml:space="preserve"> to</w:t>
      </w:r>
      <w:r w:rsidRPr="00D0457E">
        <w:rPr>
          <w:lang w:val="en-GB"/>
        </w:rPr>
        <w:t xml:space="preserve">: </w:t>
      </w:r>
      <w:r w:rsidR="007410E3">
        <w:rPr>
          <w:lang w:val="en-GB"/>
        </w:rPr>
        <w:t xml:space="preserve">(1) </w:t>
      </w:r>
      <w:r w:rsidRPr="00D0457E">
        <w:rPr>
          <w:lang w:val="en-GB"/>
        </w:rPr>
        <w:t>compare environmental ratings for timber, st</w:t>
      </w:r>
      <w:r w:rsidR="007410E3">
        <w:rPr>
          <w:lang w:val="en-GB"/>
        </w:rPr>
        <w:t xml:space="preserve">eel and plastic sheet piling, and (2) </w:t>
      </w:r>
      <w:r w:rsidRPr="00D0457E">
        <w:rPr>
          <w:lang w:val="en-GB"/>
        </w:rPr>
        <w:t>assess the need for a more extensive and independently verified study.</w:t>
      </w:r>
    </w:p>
    <w:p w:rsidR="00082D64" w:rsidRPr="00D0457E" w:rsidRDefault="00082D64" w:rsidP="00082D64">
      <w:pPr>
        <w:spacing w:after="0"/>
        <w:rPr>
          <w:lang w:val="en-GB"/>
        </w:rPr>
      </w:pPr>
    </w:p>
    <w:p w:rsidR="00A973F6" w:rsidRPr="00D0457E" w:rsidRDefault="00FB407F" w:rsidP="00EF324F">
      <w:pPr>
        <w:spacing w:after="0"/>
        <w:rPr>
          <w:i/>
          <w:lang w:val="en-GB"/>
        </w:rPr>
      </w:pPr>
      <w:r w:rsidRPr="00D0457E">
        <w:rPr>
          <w:i/>
          <w:lang w:val="en-GB"/>
        </w:rPr>
        <w:t>Lifespan, Functional Units &amp; Life Cycle Phases</w:t>
      </w:r>
    </w:p>
    <w:p w:rsidR="00075DE9" w:rsidRPr="00D0457E" w:rsidRDefault="007025F2" w:rsidP="0057463E">
      <w:pPr>
        <w:spacing w:after="0"/>
        <w:rPr>
          <w:lang w:val="en-GB"/>
        </w:rPr>
      </w:pPr>
      <w:r w:rsidRPr="00D0457E">
        <w:rPr>
          <w:lang w:val="en-GB"/>
        </w:rPr>
        <w:t>The lifespan for steel is one hundred years and for timber and plastic thirty years. The functional unit was set at 1 m² of sheet piling. Calculations were based on a lifespan of thirty years. 1 m² of timber pile planking equates to 0.054 m³ of tropical hardwood (</w:t>
      </w:r>
      <w:proofErr w:type="spellStart"/>
      <w:r w:rsidRPr="00D0457E">
        <w:rPr>
          <w:lang w:val="en-GB"/>
        </w:rPr>
        <w:t>azobé</w:t>
      </w:r>
      <w:proofErr w:type="spellEnd"/>
      <w:r w:rsidRPr="00D0457E">
        <w:rPr>
          <w:lang w:val="en-GB"/>
        </w:rPr>
        <w:t>). The following were taken into account for timber, steel and plastic:</w:t>
      </w:r>
      <w:r w:rsidR="007410E3">
        <w:rPr>
          <w:lang w:val="en-GB"/>
        </w:rPr>
        <w:t xml:space="preserve"> </w:t>
      </w:r>
      <w:r w:rsidRPr="00D0457E">
        <w:rPr>
          <w:lang w:val="en-GB"/>
        </w:rPr>
        <w:t xml:space="preserve">raw material </w:t>
      </w:r>
      <w:proofErr w:type="spellStart"/>
      <w:r w:rsidRPr="00D0457E">
        <w:rPr>
          <w:lang w:val="en-GB"/>
        </w:rPr>
        <w:t>extraction</w:t>
      </w:r>
      <w:r w:rsidR="007410E3">
        <w:rPr>
          <w:lang w:val="en-GB"/>
        </w:rPr>
        <w:t>,</w:t>
      </w:r>
      <w:r w:rsidRPr="00D0457E">
        <w:rPr>
          <w:lang w:val="en-GB"/>
        </w:rPr>
        <w:t>transportation</w:t>
      </w:r>
      <w:proofErr w:type="spellEnd"/>
      <w:r w:rsidRPr="00D0457E">
        <w:rPr>
          <w:lang w:val="en-GB"/>
        </w:rPr>
        <w:t xml:space="preserve"> to </w:t>
      </w:r>
      <w:proofErr w:type="spellStart"/>
      <w:r w:rsidRPr="00D0457E">
        <w:rPr>
          <w:lang w:val="en-GB"/>
        </w:rPr>
        <w:t>production</w:t>
      </w:r>
      <w:r w:rsidR="007410E3">
        <w:rPr>
          <w:lang w:val="en-GB"/>
        </w:rPr>
        <w:t>,</w:t>
      </w:r>
      <w:r w:rsidRPr="00D0457E">
        <w:rPr>
          <w:lang w:val="en-GB"/>
        </w:rPr>
        <w:t>site</w:t>
      </w:r>
      <w:proofErr w:type="spellEnd"/>
      <w:r w:rsidRPr="00D0457E">
        <w:rPr>
          <w:lang w:val="en-GB"/>
        </w:rPr>
        <w:t xml:space="preserve"> pile planking </w:t>
      </w:r>
      <w:proofErr w:type="spellStart"/>
      <w:r w:rsidRPr="00D0457E">
        <w:rPr>
          <w:lang w:val="en-GB"/>
        </w:rPr>
        <w:t>production</w:t>
      </w:r>
      <w:r w:rsidR="0057463E">
        <w:rPr>
          <w:lang w:val="en-GB"/>
        </w:rPr>
        <w:t>,</w:t>
      </w:r>
      <w:r w:rsidRPr="00D0457E">
        <w:rPr>
          <w:lang w:val="en-GB"/>
        </w:rPr>
        <w:t>transportation</w:t>
      </w:r>
      <w:proofErr w:type="spellEnd"/>
      <w:r w:rsidRPr="00D0457E">
        <w:rPr>
          <w:lang w:val="en-GB"/>
        </w:rPr>
        <w:t xml:space="preserve"> to construction site</w:t>
      </w:r>
      <w:r w:rsidR="0057463E">
        <w:rPr>
          <w:lang w:val="en-GB"/>
        </w:rPr>
        <w:t xml:space="preserve">, </w:t>
      </w:r>
      <w:r w:rsidRPr="00D0457E">
        <w:rPr>
          <w:lang w:val="en-GB"/>
        </w:rPr>
        <w:t>sheet piling construction</w:t>
      </w:r>
      <w:r w:rsidR="0057463E">
        <w:rPr>
          <w:lang w:val="en-GB"/>
        </w:rPr>
        <w:t xml:space="preserve">, and </w:t>
      </w:r>
      <w:r w:rsidRPr="00D0457E">
        <w:rPr>
          <w:lang w:val="en-GB"/>
        </w:rPr>
        <w:t>recycling/disposal</w:t>
      </w:r>
      <w:r w:rsidR="0057463E">
        <w:rPr>
          <w:lang w:val="en-GB"/>
        </w:rPr>
        <w:t>.</w:t>
      </w:r>
    </w:p>
    <w:p w:rsidR="00082D64" w:rsidRPr="00D0457E" w:rsidRDefault="00082D64" w:rsidP="00082D64">
      <w:pPr>
        <w:pStyle w:val="Lijstalinea"/>
        <w:spacing w:after="0"/>
        <w:rPr>
          <w:lang w:val="en-GB"/>
        </w:rPr>
      </w:pPr>
    </w:p>
    <w:p w:rsidR="0057463E" w:rsidRDefault="0057463E">
      <w:pPr>
        <w:rPr>
          <w:i/>
          <w:lang w:val="en-GB"/>
        </w:rPr>
      </w:pPr>
      <w:r>
        <w:rPr>
          <w:i/>
          <w:lang w:val="en-GB"/>
        </w:rPr>
        <w:br w:type="page"/>
      </w:r>
    </w:p>
    <w:p w:rsidR="00230F89" w:rsidRPr="00D0457E" w:rsidRDefault="005C63D2" w:rsidP="00082D64">
      <w:pPr>
        <w:rPr>
          <w:i/>
          <w:lang w:val="en-GB"/>
        </w:rPr>
      </w:pPr>
      <w:r w:rsidRPr="00D0457E">
        <w:rPr>
          <w:i/>
          <w:lang w:val="en-GB"/>
        </w:rPr>
        <w:lastRenderedPageBreak/>
        <w:t>Environmental Ratings for Various Sheet Piling Materials (Exploratory)</w:t>
      </w:r>
    </w:p>
    <w:tbl>
      <w:tblPr>
        <w:tblW w:w="5000" w:type="pct"/>
        <w:tblCellMar>
          <w:left w:w="70" w:type="dxa"/>
          <w:right w:w="70" w:type="dxa"/>
        </w:tblCellMar>
        <w:tblLook w:val="04A0" w:firstRow="1" w:lastRow="0" w:firstColumn="1" w:lastColumn="0" w:noHBand="0" w:noVBand="1"/>
      </w:tblPr>
      <w:tblGrid>
        <w:gridCol w:w="1553"/>
        <w:gridCol w:w="461"/>
        <w:gridCol w:w="739"/>
        <w:gridCol w:w="1476"/>
        <w:gridCol w:w="1598"/>
        <w:gridCol w:w="1896"/>
        <w:gridCol w:w="1489"/>
      </w:tblGrid>
      <w:tr w:rsidR="00230F89" w:rsidRPr="00D0457E" w:rsidTr="004D3853">
        <w:trPr>
          <w:trHeight w:val="310"/>
        </w:trPr>
        <w:tc>
          <w:tcPr>
            <w:tcW w:w="913"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230F89" w:rsidRPr="00D0457E" w:rsidRDefault="00230F89" w:rsidP="00086E51">
            <w:pPr>
              <w:keepNext/>
              <w:spacing w:after="0" w:line="240" w:lineRule="auto"/>
              <w:jc w:val="both"/>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Impact Category</w:t>
            </w:r>
          </w:p>
        </w:tc>
        <w:tc>
          <w:tcPr>
            <w:tcW w:w="332" w:type="pct"/>
            <w:tcBorders>
              <w:top w:val="single" w:sz="4" w:space="0" w:color="auto"/>
              <w:left w:val="nil"/>
              <w:bottom w:val="single" w:sz="4" w:space="0" w:color="auto"/>
              <w:right w:val="single" w:sz="4" w:space="0" w:color="auto"/>
            </w:tcBorders>
            <w:shd w:val="clear" w:color="000000" w:fill="A6A6A6"/>
            <w:noWrap/>
            <w:vAlign w:val="center"/>
            <w:hideMark/>
          </w:tcPr>
          <w:p w:rsidR="00230F89" w:rsidRPr="00D0457E" w:rsidRDefault="00230F89" w:rsidP="00086E51">
            <w:pPr>
              <w:keepNext/>
              <w:spacing w:after="0" w:line="240" w:lineRule="auto"/>
              <w:jc w:val="center"/>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Unit</w:t>
            </w:r>
          </w:p>
        </w:tc>
        <w:tc>
          <w:tcPr>
            <w:tcW w:w="477" w:type="pct"/>
            <w:tcBorders>
              <w:top w:val="single" w:sz="4" w:space="0" w:color="auto"/>
              <w:left w:val="nil"/>
              <w:bottom w:val="single" w:sz="4" w:space="0" w:color="auto"/>
              <w:right w:val="single" w:sz="4" w:space="0" w:color="auto"/>
            </w:tcBorders>
            <w:shd w:val="clear" w:color="000000" w:fill="A6A6A6"/>
            <w:vAlign w:val="center"/>
          </w:tcPr>
          <w:p w:rsidR="00230F89" w:rsidRPr="00D0457E" w:rsidRDefault="00230F89" w:rsidP="00086E51">
            <w:pPr>
              <w:keepNext/>
              <w:spacing w:after="0" w:line="240" w:lineRule="auto"/>
              <w:jc w:val="center"/>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Total</w:t>
            </w:r>
          </w:p>
        </w:tc>
        <w:tc>
          <w:tcPr>
            <w:tcW w:w="877"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075DE9" w:rsidRPr="00D0457E" w:rsidRDefault="00230F89" w:rsidP="00086E51">
            <w:pPr>
              <w:keepNext/>
              <w:spacing w:after="0" w:line="240" w:lineRule="auto"/>
              <w:jc w:val="center"/>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Production</w:t>
            </w:r>
          </w:p>
          <w:p w:rsidR="00230F89" w:rsidRPr="00D0457E" w:rsidRDefault="00230F89" w:rsidP="00086E51">
            <w:pPr>
              <w:keepNext/>
              <w:spacing w:after="0" w:line="240" w:lineRule="auto"/>
              <w:jc w:val="center"/>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(A1/A2/A3/A5)</w:t>
            </w:r>
          </w:p>
        </w:tc>
        <w:tc>
          <w:tcPr>
            <w:tcW w:w="760" w:type="pct"/>
            <w:tcBorders>
              <w:top w:val="single" w:sz="4" w:space="0" w:color="auto"/>
              <w:left w:val="nil"/>
              <w:bottom w:val="single" w:sz="4" w:space="0" w:color="auto"/>
              <w:right w:val="single" w:sz="4" w:space="0" w:color="auto"/>
            </w:tcBorders>
            <w:shd w:val="clear" w:color="000000" w:fill="A6A6A6"/>
            <w:noWrap/>
            <w:vAlign w:val="center"/>
            <w:hideMark/>
          </w:tcPr>
          <w:p w:rsidR="00075DE9" w:rsidRPr="00D0457E" w:rsidRDefault="00230F89" w:rsidP="00086E51">
            <w:pPr>
              <w:keepNext/>
              <w:spacing w:after="0" w:line="240" w:lineRule="auto"/>
              <w:jc w:val="center"/>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Transportation to</w:t>
            </w:r>
          </w:p>
          <w:p w:rsidR="00230F89" w:rsidRPr="00D0457E" w:rsidRDefault="00230F89" w:rsidP="00086E51">
            <w:pPr>
              <w:keepNext/>
              <w:spacing w:after="0" w:line="240" w:lineRule="auto"/>
              <w:jc w:val="center"/>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Construction Site (A4)</w:t>
            </w:r>
          </w:p>
        </w:tc>
        <w:tc>
          <w:tcPr>
            <w:tcW w:w="756" w:type="pct"/>
            <w:tcBorders>
              <w:top w:val="single" w:sz="4" w:space="0" w:color="auto"/>
              <w:left w:val="nil"/>
              <w:bottom w:val="single" w:sz="4" w:space="0" w:color="auto"/>
              <w:right w:val="single" w:sz="4" w:space="0" w:color="auto"/>
            </w:tcBorders>
            <w:shd w:val="clear" w:color="000000" w:fill="A6A6A6"/>
            <w:noWrap/>
            <w:vAlign w:val="center"/>
            <w:hideMark/>
          </w:tcPr>
          <w:p w:rsidR="00075DE9" w:rsidRPr="00D0457E" w:rsidRDefault="00230F89" w:rsidP="00086E51">
            <w:pPr>
              <w:keepNext/>
              <w:spacing w:after="0" w:line="240" w:lineRule="auto"/>
              <w:jc w:val="center"/>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Transportation to</w:t>
            </w:r>
          </w:p>
          <w:p w:rsidR="00230F89" w:rsidRPr="00D0457E" w:rsidRDefault="00230F89" w:rsidP="00086E51">
            <w:pPr>
              <w:keepNext/>
              <w:spacing w:after="0" w:line="240" w:lineRule="auto"/>
              <w:jc w:val="center"/>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Waste Processing Site (C2)</w:t>
            </w:r>
          </w:p>
        </w:tc>
        <w:tc>
          <w:tcPr>
            <w:tcW w:w="884" w:type="pct"/>
            <w:tcBorders>
              <w:top w:val="single" w:sz="4" w:space="0" w:color="auto"/>
              <w:left w:val="nil"/>
              <w:bottom w:val="single" w:sz="4" w:space="0" w:color="auto"/>
              <w:right w:val="single" w:sz="4" w:space="0" w:color="auto"/>
            </w:tcBorders>
            <w:shd w:val="clear" w:color="000000" w:fill="A6A6A6"/>
            <w:noWrap/>
            <w:vAlign w:val="center"/>
            <w:hideMark/>
          </w:tcPr>
          <w:p w:rsidR="00075DE9" w:rsidRPr="00D0457E" w:rsidRDefault="00230F89" w:rsidP="00086E51">
            <w:pPr>
              <w:keepNext/>
              <w:spacing w:after="0" w:line="240" w:lineRule="auto"/>
              <w:jc w:val="center"/>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Waste Processing</w:t>
            </w:r>
          </w:p>
          <w:p w:rsidR="00230F89" w:rsidRPr="00D0457E" w:rsidRDefault="00230F89" w:rsidP="00086E51">
            <w:pPr>
              <w:keepNext/>
              <w:spacing w:after="0" w:line="240" w:lineRule="auto"/>
              <w:jc w:val="center"/>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(C1/C3/C4)</w:t>
            </w:r>
          </w:p>
        </w:tc>
      </w:tr>
      <w:tr w:rsidR="00230F89" w:rsidRPr="00D0457E" w:rsidTr="004D3853">
        <w:trPr>
          <w:trHeight w:val="283"/>
        </w:trPr>
        <w:tc>
          <w:tcPr>
            <w:tcW w:w="913" w:type="pct"/>
            <w:tcBorders>
              <w:top w:val="nil"/>
              <w:left w:val="single" w:sz="4" w:space="0" w:color="auto"/>
              <w:bottom w:val="single" w:sz="4" w:space="0" w:color="auto"/>
              <w:right w:val="single" w:sz="4" w:space="0" w:color="auto"/>
            </w:tcBorders>
            <w:shd w:val="clear" w:color="auto" w:fill="auto"/>
            <w:noWrap/>
            <w:vAlign w:val="center"/>
          </w:tcPr>
          <w:p w:rsidR="00230F89" w:rsidRPr="00D0457E" w:rsidRDefault="00230F89" w:rsidP="00086E51">
            <w:pPr>
              <w:keepNext/>
              <w:spacing w:after="0" w:line="240" w:lineRule="auto"/>
              <w:jc w:val="both"/>
              <w:rPr>
                <w:rFonts w:ascii="EYInterstate Light" w:hAnsi="EYInterstate Light" w:cs="Calibri"/>
                <w:color w:val="000000"/>
                <w:sz w:val="16"/>
                <w:szCs w:val="16"/>
                <w:lang w:val="en-GB"/>
              </w:rPr>
            </w:pPr>
            <w:proofErr w:type="spellStart"/>
            <w:r w:rsidRPr="00D0457E">
              <w:rPr>
                <w:rFonts w:ascii="EYInterstate Light" w:hAnsi="EYInterstate Light" w:cs="Calibri"/>
                <w:color w:val="000000"/>
                <w:sz w:val="16"/>
                <w:szCs w:val="16"/>
                <w:lang w:val="en-GB"/>
              </w:rPr>
              <w:t>Azobé</w:t>
            </w:r>
            <w:proofErr w:type="spellEnd"/>
          </w:p>
        </w:tc>
        <w:tc>
          <w:tcPr>
            <w:tcW w:w="332" w:type="pct"/>
            <w:tcBorders>
              <w:top w:val="nil"/>
              <w:left w:val="nil"/>
              <w:bottom w:val="single" w:sz="4" w:space="0" w:color="auto"/>
              <w:right w:val="single" w:sz="4" w:space="0" w:color="auto"/>
            </w:tcBorders>
            <w:shd w:val="clear" w:color="auto" w:fill="auto"/>
            <w:noWrap/>
            <w:vAlign w:val="center"/>
          </w:tcPr>
          <w:p w:rsidR="00230F89" w:rsidRPr="00D0457E" w:rsidRDefault="00230F89" w:rsidP="00086E51">
            <w:pPr>
              <w:keepNext/>
              <w:spacing w:after="0" w:line="240" w:lineRule="auto"/>
              <w:jc w:val="center"/>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€/m²</w:t>
            </w:r>
          </w:p>
        </w:tc>
        <w:tc>
          <w:tcPr>
            <w:tcW w:w="477" w:type="pct"/>
            <w:tcBorders>
              <w:top w:val="single" w:sz="4" w:space="0" w:color="auto"/>
              <w:left w:val="nil"/>
              <w:bottom w:val="single" w:sz="4" w:space="0" w:color="auto"/>
              <w:right w:val="single" w:sz="4" w:space="0" w:color="auto"/>
            </w:tcBorders>
            <w:vAlign w:val="center"/>
          </w:tcPr>
          <w:p w:rsidR="00230F89" w:rsidRPr="00D0457E" w:rsidRDefault="00230F89" w:rsidP="00086E51">
            <w:pPr>
              <w:keepNext/>
              <w:tabs>
                <w:tab w:val="decimal" w:pos="363"/>
              </w:tabs>
              <w:spacing w:after="0" w:line="240" w:lineRule="auto"/>
              <w:jc w:val="center"/>
              <w:rPr>
                <w:rFonts w:cs="Calibri"/>
                <w:b/>
                <w:color w:val="000000"/>
                <w:sz w:val="16"/>
                <w:szCs w:val="16"/>
                <w:lang w:val="en-GB"/>
              </w:rPr>
            </w:pPr>
            <w:r w:rsidRPr="00D0457E">
              <w:rPr>
                <w:rFonts w:cs="Calibri"/>
                <w:b/>
                <w:bCs/>
                <w:color w:val="000000"/>
                <w:sz w:val="16"/>
                <w:szCs w:val="16"/>
                <w:lang w:val="en-GB"/>
              </w:rPr>
              <w:t>0.19</w:t>
            </w:r>
          </w:p>
        </w:tc>
        <w:tc>
          <w:tcPr>
            <w:tcW w:w="877" w:type="pct"/>
            <w:tcBorders>
              <w:top w:val="nil"/>
              <w:left w:val="single" w:sz="4" w:space="0" w:color="auto"/>
              <w:bottom w:val="single" w:sz="4" w:space="0" w:color="auto"/>
              <w:right w:val="single" w:sz="4" w:space="0" w:color="auto"/>
            </w:tcBorders>
            <w:shd w:val="clear" w:color="auto" w:fill="auto"/>
            <w:noWrap/>
            <w:vAlign w:val="center"/>
          </w:tcPr>
          <w:p w:rsidR="00230F89" w:rsidRPr="00D0457E" w:rsidRDefault="00230F89" w:rsidP="00086E51">
            <w:pPr>
              <w:keepNext/>
              <w:tabs>
                <w:tab w:val="decimal" w:pos="1139"/>
              </w:tabs>
              <w:spacing w:after="0" w:line="240" w:lineRule="auto"/>
              <w:jc w:val="both"/>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0.51</w:t>
            </w:r>
          </w:p>
        </w:tc>
        <w:tc>
          <w:tcPr>
            <w:tcW w:w="760" w:type="pct"/>
            <w:tcBorders>
              <w:top w:val="nil"/>
              <w:left w:val="nil"/>
              <w:bottom w:val="single" w:sz="4" w:space="0" w:color="auto"/>
              <w:right w:val="single" w:sz="4" w:space="0" w:color="auto"/>
            </w:tcBorders>
            <w:shd w:val="clear" w:color="auto" w:fill="auto"/>
            <w:noWrap/>
            <w:vAlign w:val="center"/>
          </w:tcPr>
          <w:p w:rsidR="00230F89" w:rsidRPr="00D0457E" w:rsidRDefault="00230F89" w:rsidP="00086E51">
            <w:pPr>
              <w:keepNext/>
              <w:tabs>
                <w:tab w:val="decimal" w:pos="1025"/>
              </w:tabs>
              <w:spacing w:after="0" w:line="240" w:lineRule="auto"/>
              <w:jc w:val="both"/>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1.22</w:t>
            </w:r>
          </w:p>
        </w:tc>
        <w:tc>
          <w:tcPr>
            <w:tcW w:w="756" w:type="pct"/>
            <w:tcBorders>
              <w:top w:val="nil"/>
              <w:left w:val="nil"/>
              <w:bottom w:val="single" w:sz="4" w:space="0" w:color="auto"/>
              <w:right w:val="single" w:sz="4" w:space="0" w:color="auto"/>
            </w:tcBorders>
            <w:shd w:val="clear" w:color="auto" w:fill="auto"/>
            <w:noWrap/>
            <w:vAlign w:val="center"/>
          </w:tcPr>
          <w:p w:rsidR="00230F89" w:rsidRPr="00D0457E" w:rsidRDefault="00230F89" w:rsidP="00086E51">
            <w:pPr>
              <w:keepNext/>
              <w:tabs>
                <w:tab w:val="decimal" w:pos="921"/>
              </w:tabs>
              <w:spacing w:after="0" w:line="240" w:lineRule="auto"/>
              <w:jc w:val="both"/>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0.13</w:t>
            </w:r>
          </w:p>
        </w:tc>
        <w:tc>
          <w:tcPr>
            <w:tcW w:w="884" w:type="pct"/>
            <w:tcBorders>
              <w:top w:val="nil"/>
              <w:left w:val="nil"/>
              <w:bottom w:val="single" w:sz="4" w:space="0" w:color="auto"/>
              <w:right w:val="single" w:sz="4" w:space="0" w:color="auto"/>
            </w:tcBorders>
            <w:shd w:val="clear" w:color="auto" w:fill="auto"/>
            <w:noWrap/>
            <w:vAlign w:val="center"/>
          </w:tcPr>
          <w:p w:rsidR="00230F89" w:rsidRPr="00D0457E" w:rsidRDefault="00230F89" w:rsidP="00086E51">
            <w:pPr>
              <w:keepNext/>
              <w:tabs>
                <w:tab w:val="decimal" w:pos="1054"/>
              </w:tabs>
              <w:spacing w:after="0" w:line="240" w:lineRule="auto"/>
              <w:jc w:val="both"/>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-1.67</w:t>
            </w:r>
          </w:p>
        </w:tc>
      </w:tr>
      <w:tr w:rsidR="00230F89" w:rsidRPr="00D0457E" w:rsidTr="004D3853">
        <w:trPr>
          <w:trHeight w:val="310"/>
        </w:trPr>
        <w:tc>
          <w:tcPr>
            <w:tcW w:w="913" w:type="pct"/>
            <w:tcBorders>
              <w:top w:val="nil"/>
              <w:left w:val="single" w:sz="4" w:space="0" w:color="auto"/>
              <w:bottom w:val="single" w:sz="4" w:space="0" w:color="auto"/>
              <w:right w:val="single" w:sz="4" w:space="0" w:color="auto"/>
            </w:tcBorders>
            <w:shd w:val="clear" w:color="auto" w:fill="auto"/>
            <w:noWrap/>
            <w:vAlign w:val="center"/>
          </w:tcPr>
          <w:p w:rsidR="00230F89" w:rsidRPr="00D0457E" w:rsidRDefault="00230F89" w:rsidP="00086E51">
            <w:pPr>
              <w:keepNext/>
              <w:spacing w:after="0" w:line="240" w:lineRule="auto"/>
              <w:jc w:val="both"/>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 xml:space="preserve">Red </w:t>
            </w:r>
            <w:proofErr w:type="spellStart"/>
            <w:r w:rsidRPr="00D0457E">
              <w:rPr>
                <w:rFonts w:ascii="EYInterstate Light" w:hAnsi="EYInterstate Light" w:cs="Calibri"/>
                <w:color w:val="000000"/>
                <w:sz w:val="16"/>
                <w:szCs w:val="16"/>
                <w:lang w:val="en-GB"/>
              </w:rPr>
              <w:t>Angelim</w:t>
            </w:r>
            <w:proofErr w:type="spellEnd"/>
          </w:p>
        </w:tc>
        <w:tc>
          <w:tcPr>
            <w:tcW w:w="332" w:type="pct"/>
            <w:tcBorders>
              <w:top w:val="nil"/>
              <w:left w:val="nil"/>
              <w:bottom w:val="single" w:sz="4" w:space="0" w:color="auto"/>
              <w:right w:val="single" w:sz="4" w:space="0" w:color="auto"/>
            </w:tcBorders>
            <w:shd w:val="clear" w:color="auto" w:fill="auto"/>
            <w:noWrap/>
            <w:vAlign w:val="center"/>
          </w:tcPr>
          <w:p w:rsidR="00230F89" w:rsidRPr="00D0457E" w:rsidRDefault="00230F89" w:rsidP="00086E51">
            <w:pPr>
              <w:keepNext/>
              <w:spacing w:after="0" w:line="240" w:lineRule="auto"/>
              <w:jc w:val="center"/>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€/m²</w:t>
            </w:r>
          </w:p>
        </w:tc>
        <w:tc>
          <w:tcPr>
            <w:tcW w:w="477" w:type="pct"/>
            <w:tcBorders>
              <w:top w:val="single" w:sz="4" w:space="0" w:color="auto"/>
              <w:left w:val="nil"/>
              <w:bottom w:val="single" w:sz="4" w:space="0" w:color="auto"/>
              <w:right w:val="single" w:sz="4" w:space="0" w:color="auto"/>
            </w:tcBorders>
            <w:vAlign w:val="center"/>
          </w:tcPr>
          <w:p w:rsidR="00230F89" w:rsidRPr="00D0457E" w:rsidRDefault="00230F89" w:rsidP="00086E51">
            <w:pPr>
              <w:keepNext/>
              <w:tabs>
                <w:tab w:val="decimal" w:pos="363"/>
              </w:tabs>
              <w:spacing w:after="0" w:line="240" w:lineRule="auto"/>
              <w:jc w:val="center"/>
              <w:rPr>
                <w:rFonts w:cs="Calibri"/>
                <w:b/>
                <w:color w:val="000000"/>
                <w:sz w:val="16"/>
                <w:szCs w:val="16"/>
                <w:lang w:val="en-GB"/>
              </w:rPr>
            </w:pPr>
            <w:r w:rsidRPr="00D0457E">
              <w:rPr>
                <w:rFonts w:cs="Calibri"/>
                <w:b/>
                <w:bCs/>
                <w:color w:val="000000"/>
                <w:sz w:val="16"/>
                <w:szCs w:val="16"/>
                <w:lang w:val="en-GB"/>
              </w:rPr>
              <w:t>1.12</w:t>
            </w:r>
          </w:p>
        </w:tc>
        <w:tc>
          <w:tcPr>
            <w:tcW w:w="877" w:type="pct"/>
            <w:tcBorders>
              <w:top w:val="nil"/>
              <w:left w:val="single" w:sz="4" w:space="0" w:color="auto"/>
              <w:bottom w:val="single" w:sz="4" w:space="0" w:color="auto"/>
              <w:right w:val="single" w:sz="4" w:space="0" w:color="auto"/>
            </w:tcBorders>
            <w:shd w:val="clear" w:color="auto" w:fill="auto"/>
            <w:noWrap/>
            <w:vAlign w:val="center"/>
          </w:tcPr>
          <w:p w:rsidR="00230F89" w:rsidRPr="00D0457E" w:rsidRDefault="00230F89" w:rsidP="00086E51">
            <w:pPr>
              <w:keepNext/>
              <w:tabs>
                <w:tab w:val="decimal" w:pos="1139"/>
              </w:tabs>
              <w:spacing w:after="0" w:line="240" w:lineRule="auto"/>
              <w:jc w:val="both"/>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0.69</w:t>
            </w:r>
          </w:p>
        </w:tc>
        <w:tc>
          <w:tcPr>
            <w:tcW w:w="760" w:type="pct"/>
            <w:tcBorders>
              <w:top w:val="nil"/>
              <w:left w:val="nil"/>
              <w:bottom w:val="single" w:sz="4" w:space="0" w:color="auto"/>
              <w:right w:val="single" w:sz="4" w:space="0" w:color="auto"/>
            </w:tcBorders>
            <w:shd w:val="clear" w:color="auto" w:fill="auto"/>
            <w:noWrap/>
            <w:vAlign w:val="center"/>
          </w:tcPr>
          <w:p w:rsidR="00230F89" w:rsidRPr="00D0457E" w:rsidRDefault="00230F89" w:rsidP="00086E51">
            <w:pPr>
              <w:keepNext/>
              <w:tabs>
                <w:tab w:val="decimal" w:pos="1025"/>
              </w:tabs>
              <w:spacing w:after="0" w:line="240" w:lineRule="auto"/>
              <w:jc w:val="both"/>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2.01</w:t>
            </w:r>
          </w:p>
        </w:tc>
        <w:tc>
          <w:tcPr>
            <w:tcW w:w="756" w:type="pct"/>
            <w:tcBorders>
              <w:top w:val="nil"/>
              <w:left w:val="nil"/>
              <w:bottom w:val="single" w:sz="4" w:space="0" w:color="auto"/>
              <w:right w:val="single" w:sz="4" w:space="0" w:color="auto"/>
            </w:tcBorders>
            <w:shd w:val="clear" w:color="auto" w:fill="auto"/>
            <w:noWrap/>
            <w:vAlign w:val="center"/>
          </w:tcPr>
          <w:p w:rsidR="00230F89" w:rsidRPr="00D0457E" w:rsidRDefault="00230F89" w:rsidP="00086E51">
            <w:pPr>
              <w:keepNext/>
              <w:tabs>
                <w:tab w:val="decimal" w:pos="921"/>
              </w:tabs>
              <w:spacing w:after="0" w:line="240" w:lineRule="auto"/>
              <w:jc w:val="both"/>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0.14</w:t>
            </w:r>
          </w:p>
        </w:tc>
        <w:tc>
          <w:tcPr>
            <w:tcW w:w="884" w:type="pct"/>
            <w:tcBorders>
              <w:top w:val="nil"/>
              <w:left w:val="nil"/>
              <w:bottom w:val="single" w:sz="4" w:space="0" w:color="auto"/>
              <w:right w:val="single" w:sz="4" w:space="0" w:color="auto"/>
            </w:tcBorders>
            <w:shd w:val="clear" w:color="auto" w:fill="auto"/>
            <w:noWrap/>
            <w:vAlign w:val="center"/>
          </w:tcPr>
          <w:p w:rsidR="00230F89" w:rsidRPr="00D0457E" w:rsidRDefault="00230F89" w:rsidP="00086E51">
            <w:pPr>
              <w:keepNext/>
              <w:tabs>
                <w:tab w:val="decimal" w:pos="1054"/>
              </w:tabs>
              <w:spacing w:after="0" w:line="240" w:lineRule="auto"/>
              <w:jc w:val="both"/>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-1.73</w:t>
            </w:r>
          </w:p>
        </w:tc>
      </w:tr>
      <w:tr w:rsidR="00230F89" w:rsidRPr="00D0457E" w:rsidTr="004D3853">
        <w:trPr>
          <w:trHeight w:val="310"/>
        </w:trPr>
        <w:tc>
          <w:tcPr>
            <w:tcW w:w="913" w:type="pct"/>
            <w:tcBorders>
              <w:top w:val="nil"/>
              <w:left w:val="single" w:sz="4" w:space="0" w:color="auto"/>
              <w:bottom w:val="single" w:sz="4" w:space="0" w:color="auto"/>
              <w:right w:val="single" w:sz="4" w:space="0" w:color="auto"/>
            </w:tcBorders>
            <w:shd w:val="clear" w:color="auto" w:fill="auto"/>
            <w:noWrap/>
            <w:vAlign w:val="center"/>
          </w:tcPr>
          <w:p w:rsidR="00230F89" w:rsidRPr="00D0457E" w:rsidRDefault="00230F89" w:rsidP="00086E51">
            <w:pPr>
              <w:keepNext/>
              <w:spacing w:after="0" w:line="240" w:lineRule="auto"/>
              <w:jc w:val="both"/>
              <w:rPr>
                <w:rFonts w:ascii="EYInterstate Light" w:hAnsi="EYInterstate Light" w:cs="Calibri"/>
                <w:color w:val="000000"/>
                <w:sz w:val="16"/>
                <w:szCs w:val="16"/>
                <w:lang w:val="en-GB"/>
              </w:rPr>
            </w:pPr>
            <w:proofErr w:type="spellStart"/>
            <w:r w:rsidRPr="00D0457E">
              <w:rPr>
                <w:rFonts w:ascii="EYInterstate Light" w:hAnsi="EYInterstate Light" w:cs="Calibri"/>
                <w:color w:val="000000"/>
                <w:sz w:val="16"/>
                <w:szCs w:val="16"/>
                <w:lang w:val="en-GB"/>
              </w:rPr>
              <w:t>Okan</w:t>
            </w:r>
            <w:proofErr w:type="spellEnd"/>
          </w:p>
        </w:tc>
        <w:tc>
          <w:tcPr>
            <w:tcW w:w="332" w:type="pct"/>
            <w:tcBorders>
              <w:top w:val="nil"/>
              <w:left w:val="nil"/>
              <w:bottom w:val="single" w:sz="4" w:space="0" w:color="auto"/>
              <w:right w:val="single" w:sz="4" w:space="0" w:color="auto"/>
            </w:tcBorders>
            <w:shd w:val="clear" w:color="auto" w:fill="auto"/>
            <w:noWrap/>
            <w:vAlign w:val="center"/>
          </w:tcPr>
          <w:p w:rsidR="00230F89" w:rsidRPr="00D0457E" w:rsidRDefault="00230F89" w:rsidP="00086E51">
            <w:pPr>
              <w:keepNext/>
              <w:spacing w:after="0" w:line="240" w:lineRule="auto"/>
              <w:jc w:val="center"/>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€/m²</w:t>
            </w:r>
          </w:p>
        </w:tc>
        <w:tc>
          <w:tcPr>
            <w:tcW w:w="477" w:type="pct"/>
            <w:tcBorders>
              <w:top w:val="single" w:sz="4" w:space="0" w:color="auto"/>
              <w:left w:val="nil"/>
              <w:bottom w:val="single" w:sz="4" w:space="0" w:color="auto"/>
              <w:right w:val="single" w:sz="4" w:space="0" w:color="auto"/>
            </w:tcBorders>
            <w:vAlign w:val="center"/>
          </w:tcPr>
          <w:p w:rsidR="00230F89" w:rsidRPr="00D0457E" w:rsidRDefault="00230F89" w:rsidP="00086E51">
            <w:pPr>
              <w:keepNext/>
              <w:tabs>
                <w:tab w:val="decimal" w:pos="363"/>
              </w:tabs>
              <w:spacing w:after="0" w:line="240" w:lineRule="auto"/>
              <w:jc w:val="center"/>
              <w:rPr>
                <w:rFonts w:cs="Calibri"/>
                <w:b/>
                <w:color w:val="000000"/>
                <w:sz w:val="16"/>
                <w:szCs w:val="16"/>
                <w:lang w:val="en-GB"/>
              </w:rPr>
            </w:pPr>
            <w:r w:rsidRPr="00D0457E">
              <w:rPr>
                <w:rFonts w:cs="Calibri"/>
                <w:b/>
                <w:bCs/>
                <w:color w:val="000000"/>
                <w:sz w:val="16"/>
                <w:szCs w:val="16"/>
                <w:lang w:val="en-GB"/>
              </w:rPr>
              <w:t>0.20</w:t>
            </w:r>
          </w:p>
        </w:tc>
        <w:tc>
          <w:tcPr>
            <w:tcW w:w="877" w:type="pct"/>
            <w:tcBorders>
              <w:top w:val="nil"/>
              <w:left w:val="single" w:sz="4" w:space="0" w:color="auto"/>
              <w:bottom w:val="single" w:sz="4" w:space="0" w:color="auto"/>
              <w:right w:val="single" w:sz="4" w:space="0" w:color="auto"/>
            </w:tcBorders>
            <w:shd w:val="clear" w:color="auto" w:fill="auto"/>
            <w:noWrap/>
            <w:vAlign w:val="center"/>
          </w:tcPr>
          <w:p w:rsidR="00230F89" w:rsidRPr="00D0457E" w:rsidRDefault="00230F89" w:rsidP="00086E51">
            <w:pPr>
              <w:keepNext/>
              <w:tabs>
                <w:tab w:val="decimal" w:pos="1139"/>
              </w:tabs>
              <w:spacing w:after="0" w:line="240" w:lineRule="auto"/>
              <w:jc w:val="both"/>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0.49</w:t>
            </w:r>
          </w:p>
        </w:tc>
        <w:tc>
          <w:tcPr>
            <w:tcW w:w="760" w:type="pct"/>
            <w:tcBorders>
              <w:top w:val="nil"/>
              <w:left w:val="nil"/>
              <w:bottom w:val="single" w:sz="4" w:space="0" w:color="auto"/>
              <w:right w:val="single" w:sz="4" w:space="0" w:color="auto"/>
            </w:tcBorders>
            <w:shd w:val="clear" w:color="auto" w:fill="auto"/>
            <w:noWrap/>
            <w:vAlign w:val="center"/>
          </w:tcPr>
          <w:p w:rsidR="00230F89" w:rsidRPr="00D0457E" w:rsidRDefault="00230F89" w:rsidP="00086E51">
            <w:pPr>
              <w:keepNext/>
              <w:tabs>
                <w:tab w:val="decimal" w:pos="1025"/>
              </w:tabs>
              <w:spacing w:after="0" w:line="240" w:lineRule="auto"/>
              <w:jc w:val="both"/>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1.11</w:t>
            </w:r>
          </w:p>
        </w:tc>
        <w:tc>
          <w:tcPr>
            <w:tcW w:w="756" w:type="pct"/>
            <w:tcBorders>
              <w:top w:val="nil"/>
              <w:left w:val="nil"/>
              <w:bottom w:val="single" w:sz="4" w:space="0" w:color="auto"/>
              <w:right w:val="single" w:sz="4" w:space="0" w:color="auto"/>
            </w:tcBorders>
            <w:shd w:val="clear" w:color="auto" w:fill="auto"/>
            <w:noWrap/>
            <w:vAlign w:val="center"/>
          </w:tcPr>
          <w:p w:rsidR="00230F89" w:rsidRPr="00D0457E" w:rsidRDefault="00230F89" w:rsidP="00086E51">
            <w:pPr>
              <w:keepNext/>
              <w:tabs>
                <w:tab w:val="decimal" w:pos="921"/>
              </w:tabs>
              <w:spacing w:after="0" w:line="240" w:lineRule="auto"/>
              <w:jc w:val="both"/>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0.11</w:t>
            </w:r>
          </w:p>
        </w:tc>
        <w:tc>
          <w:tcPr>
            <w:tcW w:w="884" w:type="pct"/>
            <w:tcBorders>
              <w:top w:val="nil"/>
              <w:left w:val="nil"/>
              <w:bottom w:val="single" w:sz="4" w:space="0" w:color="auto"/>
              <w:right w:val="single" w:sz="4" w:space="0" w:color="auto"/>
            </w:tcBorders>
            <w:shd w:val="clear" w:color="auto" w:fill="auto"/>
            <w:noWrap/>
            <w:vAlign w:val="center"/>
          </w:tcPr>
          <w:p w:rsidR="00230F89" w:rsidRPr="00D0457E" w:rsidRDefault="00230F89" w:rsidP="00086E51">
            <w:pPr>
              <w:keepNext/>
              <w:tabs>
                <w:tab w:val="decimal" w:pos="1054"/>
              </w:tabs>
              <w:spacing w:after="0" w:line="240" w:lineRule="auto"/>
              <w:jc w:val="both"/>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-1.51</w:t>
            </w:r>
          </w:p>
        </w:tc>
      </w:tr>
      <w:tr w:rsidR="00230F89" w:rsidRPr="00D0457E" w:rsidTr="004D3853">
        <w:trPr>
          <w:trHeight w:val="310"/>
        </w:trPr>
        <w:tc>
          <w:tcPr>
            <w:tcW w:w="913" w:type="pct"/>
            <w:tcBorders>
              <w:top w:val="nil"/>
              <w:left w:val="single" w:sz="4" w:space="0" w:color="auto"/>
              <w:bottom w:val="single" w:sz="4" w:space="0" w:color="auto"/>
              <w:right w:val="single" w:sz="4" w:space="0" w:color="auto"/>
            </w:tcBorders>
            <w:shd w:val="clear" w:color="auto" w:fill="auto"/>
            <w:noWrap/>
            <w:vAlign w:val="center"/>
          </w:tcPr>
          <w:p w:rsidR="00230F89" w:rsidRPr="00D0457E" w:rsidRDefault="00230F89" w:rsidP="00086E51">
            <w:pPr>
              <w:keepNext/>
              <w:spacing w:after="0" w:line="240" w:lineRule="auto"/>
              <w:jc w:val="both"/>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Steel</w:t>
            </w:r>
          </w:p>
        </w:tc>
        <w:tc>
          <w:tcPr>
            <w:tcW w:w="332" w:type="pct"/>
            <w:tcBorders>
              <w:top w:val="nil"/>
              <w:left w:val="nil"/>
              <w:bottom w:val="single" w:sz="4" w:space="0" w:color="auto"/>
              <w:right w:val="single" w:sz="4" w:space="0" w:color="auto"/>
            </w:tcBorders>
            <w:shd w:val="clear" w:color="auto" w:fill="auto"/>
            <w:noWrap/>
            <w:vAlign w:val="center"/>
          </w:tcPr>
          <w:p w:rsidR="00230F89" w:rsidRPr="00D0457E" w:rsidRDefault="00230F89" w:rsidP="00086E51">
            <w:pPr>
              <w:keepNext/>
              <w:spacing w:after="0" w:line="240" w:lineRule="auto"/>
              <w:jc w:val="center"/>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€/m²</w:t>
            </w:r>
          </w:p>
        </w:tc>
        <w:tc>
          <w:tcPr>
            <w:tcW w:w="477" w:type="pct"/>
            <w:tcBorders>
              <w:top w:val="single" w:sz="4" w:space="0" w:color="auto"/>
              <w:left w:val="nil"/>
              <w:bottom w:val="single" w:sz="4" w:space="0" w:color="auto"/>
              <w:right w:val="single" w:sz="4" w:space="0" w:color="auto"/>
            </w:tcBorders>
            <w:vAlign w:val="center"/>
          </w:tcPr>
          <w:p w:rsidR="00230F89" w:rsidRPr="00D0457E" w:rsidRDefault="00230F89" w:rsidP="00086E51">
            <w:pPr>
              <w:keepNext/>
              <w:tabs>
                <w:tab w:val="decimal" w:pos="363"/>
              </w:tabs>
              <w:spacing w:after="0" w:line="240" w:lineRule="auto"/>
              <w:jc w:val="center"/>
              <w:rPr>
                <w:rFonts w:cs="Calibri"/>
                <w:b/>
                <w:color w:val="000000"/>
                <w:sz w:val="16"/>
                <w:szCs w:val="16"/>
                <w:lang w:val="en-GB"/>
              </w:rPr>
            </w:pPr>
            <w:r w:rsidRPr="00D0457E">
              <w:rPr>
                <w:rFonts w:cs="Calibri"/>
                <w:b/>
                <w:bCs/>
                <w:color w:val="000000"/>
                <w:sz w:val="16"/>
                <w:szCs w:val="16"/>
                <w:lang w:val="en-GB"/>
              </w:rPr>
              <w:t>26.64</w:t>
            </w:r>
          </w:p>
        </w:tc>
        <w:tc>
          <w:tcPr>
            <w:tcW w:w="877" w:type="pct"/>
            <w:tcBorders>
              <w:top w:val="nil"/>
              <w:left w:val="single" w:sz="4" w:space="0" w:color="auto"/>
              <w:bottom w:val="single" w:sz="4" w:space="0" w:color="auto"/>
              <w:right w:val="single" w:sz="4" w:space="0" w:color="auto"/>
            </w:tcBorders>
            <w:shd w:val="clear" w:color="auto" w:fill="auto"/>
            <w:noWrap/>
            <w:vAlign w:val="center"/>
          </w:tcPr>
          <w:p w:rsidR="00230F89" w:rsidRPr="00D0457E" w:rsidRDefault="00230F89" w:rsidP="00086E51">
            <w:pPr>
              <w:keepNext/>
              <w:tabs>
                <w:tab w:val="decimal" w:pos="1139"/>
              </w:tabs>
              <w:spacing w:after="0" w:line="240" w:lineRule="auto"/>
              <w:jc w:val="both"/>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26.35</w:t>
            </w:r>
          </w:p>
        </w:tc>
        <w:tc>
          <w:tcPr>
            <w:tcW w:w="760" w:type="pct"/>
            <w:tcBorders>
              <w:top w:val="nil"/>
              <w:left w:val="nil"/>
              <w:bottom w:val="single" w:sz="4" w:space="0" w:color="auto"/>
              <w:right w:val="single" w:sz="4" w:space="0" w:color="auto"/>
            </w:tcBorders>
            <w:shd w:val="clear" w:color="auto" w:fill="auto"/>
            <w:noWrap/>
            <w:vAlign w:val="center"/>
          </w:tcPr>
          <w:p w:rsidR="00230F89" w:rsidRPr="00D0457E" w:rsidRDefault="00230F89" w:rsidP="00086E51">
            <w:pPr>
              <w:keepNext/>
              <w:tabs>
                <w:tab w:val="decimal" w:pos="1025"/>
              </w:tabs>
              <w:spacing w:after="0" w:line="240" w:lineRule="auto"/>
              <w:jc w:val="both"/>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0.20</w:t>
            </w:r>
          </w:p>
        </w:tc>
        <w:tc>
          <w:tcPr>
            <w:tcW w:w="756" w:type="pct"/>
            <w:tcBorders>
              <w:top w:val="nil"/>
              <w:left w:val="nil"/>
              <w:bottom w:val="single" w:sz="4" w:space="0" w:color="auto"/>
              <w:right w:val="single" w:sz="4" w:space="0" w:color="auto"/>
            </w:tcBorders>
            <w:shd w:val="clear" w:color="auto" w:fill="auto"/>
            <w:noWrap/>
            <w:vAlign w:val="center"/>
          </w:tcPr>
          <w:p w:rsidR="00230F89" w:rsidRPr="00D0457E" w:rsidRDefault="00230F89" w:rsidP="00086E51">
            <w:pPr>
              <w:keepNext/>
              <w:tabs>
                <w:tab w:val="decimal" w:pos="921"/>
              </w:tabs>
              <w:spacing w:after="0" w:line="240" w:lineRule="auto"/>
              <w:jc w:val="both"/>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0.04</w:t>
            </w:r>
          </w:p>
        </w:tc>
        <w:tc>
          <w:tcPr>
            <w:tcW w:w="884" w:type="pct"/>
            <w:tcBorders>
              <w:top w:val="nil"/>
              <w:left w:val="nil"/>
              <w:bottom w:val="single" w:sz="4" w:space="0" w:color="auto"/>
              <w:right w:val="single" w:sz="4" w:space="0" w:color="auto"/>
            </w:tcBorders>
            <w:shd w:val="clear" w:color="auto" w:fill="auto"/>
            <w:noWrap/>
            <w:vAlign w:val="center"/>
          </w:tcPr>
          <w:p w:rsidR="00230F89" w:rsidRPr="00D0457E" w:rsidRDefault="00230F89" w:rsidP="00086E51">
            <w:pPr>
              <w:keepNext/>
              <w:tabs>
                <w:tab w:val="decimal" w:pos="1054"/>
              </w:tabs>
              <w:spacing w:after="0" w:line="240" w:lineRule="auto"/>
              <w:jc w:val="both"/>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0.05</w:t>
            </w:r>
          </w:p>
        </w:tc>
      </w:tr>
      <w:tr w:rsidR="00230F89" w:rsidRPr="00D0457E" w:rsidTr="004D3853">
        <w:trPr>
          <w:trHeight w:val="310"/>
        </w:trPr>
        <w:tc>
          <w:tcPr>
            <w:tcW w:w="913" w:type="pct"/>
            <w:tcBorders>
              <w:top w:val="nil"/>
              <w:left w:val="single" w:sz="4" w:space="0" w:color="auto"/>
              <w:bottom w:val="single" w:sz="4" w:space="0" w:color="auto"/>
              <w:right w:val="single" w:sz="4" w:space="0" w:color="auto"/>
            </w:tcBorders>
            <w:shd w:val="clear" w:color="auto" w:fill="auto"/>
            <w:noWrap/>
            <w:vAlign w:val="center"/>
          </w:tcPr>
          <w:p w:rsidR="00230F89" w:rsidRPr="00D0457E" w:rsidRDefault="00230F89" w:rsidP="00086E51">
            <w:pPr>
              <w:keepNext/>
              <w:spacing w:after="0" w:line="240" w:lineRule="auto"/>
              <w:jc w:val="both"/>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PVC (100% recycled)</w:t>
            </w:r>
          </w:p>
        </w:tc>
        <w:tc>
          <w:tcPr>
            <w:tcW w:w="332" w:type="pct"/>
            <w:tcBorders>
              <w:top w:val="nil"/>
              <w:left w:val="nil"/>
              <w:bottom w:val="single" w:sz="4" w:space="0" w:color="auto"/>
              <w:right w:val="single" w:sz="4" w:space="0" w:color="auto"/>
            </w:tcBorders>
            <w:shd w:val="clear" w:color="auto" w:fill="auto"/>
            <w:noWrap/>
            <w:vAlign w:val="center"/>
          </w:tcPr>
          <w:p w:rsidR="00230F89" w:rsidRPr="00D0457E" w:rsidRDefault="00230F89" w:rsidP="00086E51">
            <w:pPr>
              <w:keepNext/>
              <w:spacing w:after="0" w:line="240" w:lineRule="auto"/>
              <w:jc w:val="center"/>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€/m²</w:t>
            </w:r>
          </w:p>
        </w:tc>
        <w:tc>
          <w:tcPr>
            <w:tcW w:w="477" w:type="pct"/>
            <w:tcBorders>
              <w:top w:val="single" w:sz="4" w:space="0" w:color="auto"/>
              <w:left w:val="nil"/>
              <w:bottom w:val="single" w:sz="4" w:space="0" w:color="auto"/>
              <w:right w:val="single" w:sz="4" w:space="0" w:color="auto"/>
            </w:tcBorders>
            <w:vAlign w:val="center"/>
          </w:tcPr>
          <w:p w:rsidR="00230F89" w:rsidRPr="00D0457E" w:rsidRDefault="00230F89" w:rsidP="00086E51">
            <w:pPr>
              <w:keepNext/>
              <w:tabs>
                <w:tab w:val="decimal" w:pos="363"/>
              </w:tabs>
              <w:spacing w:after="0" w:line="240" w:lineRule="auto"/>
              <w:jc w:val="center"/>
              <w:rPr>
                <w:rFonts w:cs="Calibri"/>
                <w:b/>
                <w:color w:val="000000"/>
                <w:sz w:val="16"/>
                <w:szCs w:val="16"/>
                <w:lang w:val="en-GB"/>
              </w:rPr>
            </w:pPr>
            <w:r w:rsidRPr="00D0457E">
              <w:rPr>
                <w:rFonts w:cs="Calibri"/>
                <w:b/>
                <w:bCs/>
                <w:color w:val="000000"/>
                <w:sz w:val="16"/>
                <w:szCs w:val="16"/>
                <w:lang w:val="en-GB"/>
              </w:rPr>
              <w:t>4.19</w:t>
            </w:r>
          </w:p>
        </w:tc>
        <w:tc>
          <w:tcPr>
            <w:tcW w:w="877" w:type="pct"/>
            <w:tcBorders>
              <w:top w:val="nil"/>
              <w:left w:val="single" w:sz="4" w:space="0" w:color="auto"/>
              <w:bottom w:val="single" w:sz="4" w:space="0" w:color="auto"/>
              <w:right w:val="single" w:sz="4" w:space="0" w:color="auto"/>
            </w:tcBorders>
            <w:shd w:val="clear" w:color="auto" w:fill="auto"/>
            <w:noWrap/>
            <w:vAlign w:val="center"/>
          </w:tcPr>
          <w:p w:rsidR="00230F89" w:rsidRPr="00D0457E" w:rsidRDefault="00230F89" w:rsidP="00086E51">
            <w:pPr>
              <w:keepNext/>
              <w:tabs>
                <w:tab w:val="decimal" w:pos="1139"/>
              </w:tabs>
              <w:spacing w:after="0" w:line="240" w:lineRule="auto"/>
              <w:jc w:val="both"/>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2.73</w:t>
            </w:r>
          </w:p>
        </w:tc>
        <w:tc>
          <w:tcPr>
            <w:tcW w:w="760" w:type="pct"/>
            <w:tcBorders>
              <w:top w:val="nil"/>
              <w:left w:val="nil"/>
              <w:bottom w:val="single" w:sz="4" w:space="0" w:color="auto"/>
              <w:right w:val="single" w:sz="4" w:space="0" w:color="auto"/>
            </w:tcBorders>
            <w:shd w:val="clear" w:color="auto" w:fill="auto"/>
            <w:noWrap/>
            <w:vAlign w:val="center"/>
          </w:tcPr>
          <w:p w:rsidR="00230F89" w:rsidRPr="00D0457E" w:rsidRDefault="00230F89" w:rsidP="00086E51">
            <w:pPr>
              <w:keepNext/>
              <w:tabs>
                <w:tab w:val="decimal" w:pos="1025"/>
              </w:tabs>
              <w:spacing w:after="0" w:line="240" w:lineRule="auto"/>
              <w:jc w:val="both"/>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0.32</w:t>
            </w:r>
          </w:p>
        </w:tc>
        <w:tc>
          <w:tcPr>
            <w:tcW w:w="756" w:type="pct"/>
            <w:tcBorders>
              <w:top w:val="nil"/>
              <w:left w:val="nil"/>
              <w:bottom w:val="single" w:sz="4" w:space="0" w:color="auto"/>
              <w:right w:val="single" w:sz="4" w:space="0" w:color="auto"/>
            </w:tcBorders>
            <w:shd w:val="clear" w:color="auto" w:fill="auto"/>
            <w:noWrap/>
            <w:vAlign w:val="center"/>
          </w:tcPr>
          <w:p w:rsidR="00230F89" w:rsidRPr="00D0457E" w:rsidRDefault="00230F89" w:rsidP="00086E51">
            <w:pPr>
              <w:keepNext/>
              <w:tabs>
                <w:tab w:val="decimal" w:pos="921"/>
              </w:tabs>
              <w:spacing w:after="0" w:line="240" w:lineRule="auto"/>
              <w:jc w:val="both"/>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0.02</w:t>
            </w:r>
          </w:p>
        </w:tc>
        <w:tc>
          <w:tcPr>
            <w:tcW w:w="884" w:type="pct"/>
            <w:tcBorders>
              <w:top w:val="nil"/>
              <w:left w:val="nil"/>
              <w:bottom w:val="single" w:sz="4" w:space="0" w:color="auto"/>
              <w:right w:val="single" w:sz="4" w:space="0" w:color="auto"/>
            </w:tcBorders>
            <w:shd w:val="clear" w:color="auto" w:fill="auto"/>
            <w:noWrap/>
            <w:vAlign w:val="center"/>
          </w:tcPr>
          <w:p w:rsidR="00230F89" w:rsidRPr="00D0457E" w:rsidRDefault="00230F89" w:rsidP="00086E51">
            <w:pPr>
              <w:keepNext/>
              <w:tabs>
                <w:tab w:val="decimal" w:pos="1054"/>
              </w:tabs>
              <w:spacing w:after="0" w:line="240" w:lineRule="auto"/>
              <w:jc w:val="both"/>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1.11</w:t>
            </w:r>
          </w:p>
        </w:tc>
      </w:tr>
      <w:tr w:rsidR="00230F89" w:rsidRPr="00D0457E" w:rsidTr="004D3853">
        <w:trPr>
          <w:trHeight w:val="310"/>
        </w:trPr>
        <w:tc>
          <w:tcPr>
            <w:tcW w:w="913" w:type="pct"/>
            <w:tcBorders>
              <w:top w:val="nil"/>
              <w:left w:val="single" w:sz="4" w:space="0" w:color="auto"/>
              <w:bottom w:val="single" w:sz="4" w:space="0" w:color="auto"/>
              <w:right w:val="single" w:sz="4" w:space="0" w:color="auto"/>
            </w:tcBorders>
            <w:shd w:val="clear" w:color="auto" w:fill="auto"/>
            <w:noWrap/>
            <w:vAlign w:val="center"/>
          </w:tcPr>
          <w:p w:rsidR="00230F89" w:rsidRPr="00D0457E" w:rsidRDefault="00230F89" w:rsidP="00086E51">
            <w:pPr>
              <w:keepNext/>
              <w:spacing w:after="0" w:line="240" w:lineRule="auto"/>
              <w:jc w:val="both"/>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PVC (100% virgin)</w:t>
            </w:r>
          </w:p>
        </w:tc>
        <w:tc>
          <w:tcPr>
            <w:tcW w:w="332" w:type="pct"/>
            <w:tcBorders>
              <w:top w:val="nil"/>
              <w:left w:val="nil"/>
              <w:bottom w:val="single" w:sz="4" w:space="0" w:color="auto"/>
              <w:right w:val="single" w:sz="4" w:space="0" w:color="auto"/>
            </w:tcBorders>
            <w:shd w:val="clear" w:color="auto" w:fill="auto"/>
            <w:noWrap/>
            <w:vAlign w:val="center"/>
          </w:tcPr>
          <w:p w:rsidR="00230F89" w:rsidRPr="00D0457E" w:rsidRDefault="00230F89" w:rsidP="00086E51">
            <w:pPr>
              <w:keepNext/>
              <w:spacing w:after="0" w:line="240" w:lineRule="auto"/>
              <w:jc w:val="center"/>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€/m²</w:t>
            </w:r>
          </w:p>
        </w:tc>
        <w:tc>
          <w:tcPr>
            <w:tcW w:w="477" w:type="pct"/>
            <w:tcBorders>
              <w:top w:val="single" w:sz="4" w:space="0" w:color="auto"/>
              <w:left w:val="nil"/>
              <w:bottom w:val="single" w:sz="4" w:space="0" w:color="auto"/>
              <w:right w:val="single" w:sz="4" w:space="0" w:color="auto"/>
            </w:tcBorders>
            <w:vAlign w:val="center"/>
          </w:tcPr>
          <w:p w:rsidR="00230F89" w:rsidRPr="00D0457E" w:rsidRDefault="00230F89" w:rsidP="00086E51">
            <w:pPr>
              <w:keepNext/>
              <w:tabs>
                <w:tab w:val="decimal" w:pos="363"/>
              </w:tabs>
              <w:spacing w:after="0" w:line="240" w:lineRule="auto"/>
              <w:jc w:val="center"/>
              <w:rPr>
                <w:rFonts w:cs="Calibri"/>
                <w:b/>
                <w:color w:val="000000"/>
                <w:sz w:val="16"/>
                <w:szCs w:val="16"/>
                <w:lang w:val="en-GB"/>
              </w:rPr>
            </w:pPr>
            <w:r w:rsidRPr="00D0457E">
              <w:rPr>
                <w:rFonts w:cs="Calibri"/>
                <w:b/>
                <w:bCs/>
                <w:color w:val="000000"/>
                <w:sz w:val="16"/>
                <w:szCs w:val="16"/>
                <w:lang w:val="en-GB"/>
              </w:rPr>
              <w:t>4.79</w:t>
            </w:r>
          </w:p>
        </w:tc>
        <w:tc>
          <w:tcPr>
            <w:tcW w:w="877" w:type="pct"/>
            <w:tcBorders>
              <w:top w:val="nil"/>
              <w:left w:val="single" w:sz="4" w:space="0" w:color="auto"/>
              <w:bottom w:val="single" w:sz="4" w:space="0" w:color="auto"/>
              <w:right w:val="single" w:sz="4" w:space="0" w:color="auto"/>
            </w:tcBorders>
            <w:shd w:val="clear" w:color="auto" w:fill="auto"/>
            <w:noWrap/>
            <w:vAlign w:val="center"/>
          </w:tcPr>
          <w:p w:rsidR="00230F89" w:rsidRPr="00D0457E" w:rsidRDefault="00230F89" w:rsidP="00086E51">
            <w:pPr>
              <w:keepNext/>
              <w:tabs>
                <w:tab w:val="decimal" w:pos="1139"/>
              </w:tabs>
              <w:spacing w:after="0" w:line="240" w:lineRule="auto"/>
              <w:jc w:val="both"/>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3.34</w:t>
            </w:r>
          </w:p>
        </w:tc>
        <w:tc>
          <w:tcPr>
            <w:tcW w:w="760" w:type="pct"/>
            <w:tcBorders>
              <w:top w:val="nil"/>
              <w:left w:val="nil"/>
              <w:bottom w:val="single" w:sz="4" w:space="0" w:color="auto"/>
              <w:right w:val="single" w:sz="4" w:space="0" w:color="auto"/>
            </w:tcBorders>
            <w:shd w:val="clear" w:color="auto" w:fill="auto"/>
            <w:noWrap/>
            <w:vAlign w:val="center"/>
          </w:tcPr>
          <w:p w:rsidR="00230F89" w:rsidRPr="00D0457E" w:rsidRDefault="00230F89" w:rsidP="00086E51">
            <w:pPr>
              <w:keepNext/>
              <w:tabs>
                <w:tab w:val="decimal" w:pos="1025"/>
              </w:tabs>
              <w:spacing w:after="0" w:line="240" w:lineRule="auto"/>
              <w:jc w:val="both"/>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0.32</w:t>
            </w:r>
          </w:p>
        </w:tc>
        <w:tc>
          <w:tcPr>
            <w:tcW w:w="756" w:type="pct"/>
            <w:tcBorders>
              <w:top w:val="nil"/>
              <w:left w:val="nil"/>
              <w:bottom w:val="single" w:sz="4" w:space="0" w:color="auto"/>
              <w:right w:val="single" w:sz="4" w:space="0" w:color="auto"/>
            </w:tcBorders>
            <w:shd w:val="clear" w:color="auto" w:fill="auto"/>
            <w:noWrap/>
            <w:vAlign w:val="center"/>
          </w:tcPr>
          <w:p w:rsidR="00230F89" w:rsidRPr="00D0457E" w:rsidRDefault="00230F89" w:rsidP="00086E51">
            <w:pPr>
              <w:keepNext/>
              <w:tabs>
                <w:tab w:val="decimal" w:pos="921"/>
              </w:tabs>
              <w:spacing w:after="0" w:line="240" w:lineRule="auto"/>
              <w:jc w:val="both"/>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0.02</w:t>
            </w:r>
          </w:p>
        </w:tc>
        <w:tc>
          <w:tcPr>
            <w:tcW w:w="884" w:type="pct"/>
            <w:tcBorders>
              <w:top w:val="nil"/>
              <w:left w:val="nil"/>
              <w:bottom w:val="single" w:sz="4" w:space="0" w:color="auto"/>
              <w:right w:val="single" w:sz="4" w:space="0" w:color="auto"/>
            </w:tcBorders>
            <w:shd w:val="clear" w:color="auto" w:fill="auto"/>
            <w:noWrap/>
            <w:vAlign w:val="center"/>
          </w:tcPr>
          <w:p w:rsidR="00230F89" w:rsidRPr="00D0457E" w:rsidRDefault="00230F89" w:rsidP="00086E51">
            <w:pPr>
              <w:keepNext/>
              <w:tabs>
                <w:tab w:val="decimal" w:pos="1054"/>
              </w:tabs>
              <w:spacing w:after="0" w:line="240" w:lineRule="auto"/>
              <w:jc w:val="both"/>
              <w:rPr>
                <w:rFonts w:ascii="EYInterstate Light" w:hAnsi="EYInterstate Light" w:cs="Calibri"/>
                <w:color w:val="000000"/>
                <w:sz w:val="16"/>
                <w:szCs w:val="16"/>
                <w:lang w:val="en-GB"/>
              </w:rPr>
            </w:pPr>
            <w:r w:rsidRPr="00D0457E">
              <w:rPr>
                <w:rFonts w:ascii="EYInterstate Light" w:hAnsi="EYInterstate Light" w:cs="Calibri"/>
                <w:color w:val="000000"/>
                <w:sz w:val="16"/>
                <w:szCs w:val="16"/>
                <w:lang w:val="en-GB"/>
              </w:rPr>
              <w:t>1.11</w:t>
            </w:r>
          </w:p>
        </w:tc>
      </w:tr>
    </w:tbl>
    <w:p w:rsidR="00075DE9" w:rsidRPr="00D0457E" w:rsidRDefault="00230F89" w:rsidP="005650F1">
      <w:pPr>
        <w:pStyle w:val="Bijschrift"/>
        <w:spacing w:beforeLines="100" w:after="100" w:afterAutospacing="1" w:line="276" w:lineRule="auto"/>
        <w:jc w:val="both"/>
        <w:rPr>
          <w:lang w:val="en-GB"/>
        </w:rPr>
      </w:pPr>
      <w:r w:rsidRPr="00D0457E">
        <w:rPr>
          <w:lang w:val="en-GB"/>
        </w:rPr>
        <w:t>Table 1: ECI score (€/m² of sheet piling) – exploratory assessment of various sheet piling materials over lifespan of 30 years for scenario selected</w:t>
      </w:r>
    </w:p>
    <w:p w:rsidR="005650F1" w:rsidRPr="00D0457E" w:rsidRDefault="002F4268" w:rsidP="00B35694">
      <w:pPr>
        <w:pStyle w:val="Bijschrift"/>
        <w:keepNext/>
        <w:spacing w:before="100" w:beforeAutospacing="1" w:after="0"/>
        <w:jc w:val="both"/>
        <w:rPr>
          <w:rFonts w:asciiTheme="minorHAnsi" w:hAnsiTheme="minorHAnsi"/>
          <w:lang w:val="en-GB"/>
        </w:rPr>
      </w:pPr>
      <w:r w:rsidRPr="00D0457E">
        <w:rPr>
          <w:noProof/>
          <w:lang w:val="nl-NL"/>
        </w:rPr>
        <w:drawing>
          <wp:inline distT="0" distB="0" distL="0" distR="0" wp14:anchorId="6526096E" wp14:editId="7F44C0B6">
            <wp:extent cx="5760720" cy="2529453"/>
            <wp:effectExtent l="19050" t="0" r="0" b="0"/>
            <wp:docPr id="13" name="Afbeelding 13" descr="C:\Users\Astrid\AppData\Local\Microsoft\Windows\Temporary Internet Files\Content.Word\Figuu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trid\AppData\Local\Microsoft\Windows\Temporary Internet Files\Content.Word\Figuur 3.jpg"/>
                    <pic:cNvPicPr>
                      <a:picLocks noChangeAspect="1" noChangeArrowheads="1"/>
                    </pic:cNvPicPr>
                  </pic:nvPicPr>
                  <pic:blipFill>
                    <a:blip r:embed="rId15" cstate="print"/>
                    <a:srcRect/>
                    <a:stretch>
                      <a:fillRect/>
                    </a:stretch>
                  </pic:blipFill>
                  <pic:spPr bwMode="auto">
                    <a:xfrm>
                      <a:off x="0" y="0"/>
                      <a:ext cx="5760720" cy="2529453"/>
                    </a:xfrm>
                    <a:prstGeom prst="rect">
                      <a:avLst/>
                    </a:prstGeom>
                    <a:noFill/>
                    <a:ln w="9525">
                      <a:noFill/>
                      <a:miter lim="800000"/>
                      <a:headEnd/>
                      <a:tailEnd/>
                    </a:ln>
                  </pic:spPr>
                </pic:pic>
              </a:graphicData>
            </a:graphic>
          </wp:inline>
        </w:drawing>
      </w:r>
    </w:p>
    <w:p w:rsidR="00075DE9" w:rsidRPr="00D0457E" w:rsidRDefault="00230F89" w:rsidP="00086E51">
      <w:pPr>
        <w:pStyle w:val="Bijschrift"/>
        <w:pBdr>
          <w:top w:val="single" w:sz="6" w:space="1" w:color="auto"/>
        </w:pBdr>
        <w:spacing w:beforeLines="100" w:after="100" w:afterAutospacing="1" w:line="276" w:lineRule="auto"/>
        <w:rPr>
          <w:lang w:val="en-GB"/>
        </w:rPr>
      </w:pPr>
      <w:r w:rsidRPr="00D0457E">
        <w:rPr>
          <w:lang w:val="en-GB"/>
        </w:rPr>
        <w:t>Fig. </w:t>
      </w:r>
      <w:r w:rsidR="0089748C" w:rsidRPr="00D0457E">
        <w:rPr>
          <w:lang w:val="en-GB"/>
        </w:rPr>
        <w:fldChar w:fldCharType="begin"/>
      </w:r>
      <w:r w:rsidRPr="00D0457E">
        <w:rPr>
          <w:lang w:val="en-GB"/>
        </w:rPr>
        <w:instrText xml:space="preserve"> SEQ Figure \* ARABIC </w:instrText>
      </w:r>
      <w:r w:rsidR="0089748C" w:rsidRPr="00D0457E">
        <w:rPr>
          <w:lang w:val="en-GB"/>
        </w:rPr>
        <w:fldChar w:fldCharType="separate"/>
      </w:r>
      <w:r w:rsidRPr="00D0457E">
        <w:rPr>
          <w:lang w:val="en-GB"/>
        </w:rPr>
        <w:t>1</w:t>
      </w:r>
      <w:r w:rsidR="0089748C" w:rsidRPr="00D0457E">
        <w:rPr>
          <w:lang w:val="en-GB"/>
        </w:rPr>
        <w:fldChar w:fldCharType="end"/>
      </w:r>
      <w:r w:rsidRPr="00D0457E">
        <w:rPr>
          <w:lang w:val="en-GB"/>
        </w:rPr>
        <w:t>: Single Score (€/m² of sheet piling) – exploratory assessment of various sheet piling materials over lifespan of 30 years for scenario selected</w:t>
      </w:r>
    </w:p>
    <w:p w:rsidR="00A973F6" w:rsidRPr="00D0457E" w:rsidRDefault="00230F89" w:rsidP="00082D64">
      <w:pPr>
        <w:spacing w:after="0"/>
        <w:rPr>
          <w:i/>
          <w:lang w:val="en-GB"/>
        </w:rPr>
      </w:pPr>
      <w:r w:rsidRPr="00D0457E">
        <w:rPr>
          <w:i/>
          <w:lang w:val="en-GB"/>
        </w:rPr>
        <w:t>Conclusions</w:t>
      </w:r>
    </w:p>
    <w:p w:rsidR="00075DE9" w:rsidRPr="00D0457E" w:rsidRDefault="00230F89" w:rsidP="00082D64">
      <w:pPr>
        <w:spacing w:after="0"/>
        <w:rPr>
          <w:lang w:val="en-GB"/>
        </w:rPr>
      </w:pPr>
      <w:r w:rsidRPr="00D0457E">
        <w:rPr>
          <w:lang w:val="en-GB"/>
        </w:rPr>
        <w:t>Steel sheet piling has by far the greatest negative environmental impact of all the materials assessed. Although both plastic variants scored a lot lower than steel, timber still came out best in terms of overall environmental impact. This LCA therefore concludes that timber pile planking would appear to have the least negative environmental impact.</w:t>
      </w:r>
    </w:p>
    <w:p w:rsidR="00082D64" w:rsidRPr="00D0457E" w:rsidRDefault="00082D64" w:rsidP="00082D64">
      <w:pPr>
        <w:spacing w:after="0"/>
        <w:rPr>
          <w:lang w:val="en-GB"/>
        </w:rPr>
      </w:pPr>
    </w:p>
    <w:p w:rsidR="00A973F6" w:rsidRPr="00D0457E" w:rsidRDefault="00C5499E" w:rsidP="00082D64">
      <w:pPr>
        <w:spacing w:after="0"/>
        <w:rPr>
          <w:i/>
          <w:lang w:val="en-GB"/>
        </w:rPr>
      </w:pPr>
      <w:r w:rsidRPr="00D0457E">
        <w:rPr>
          <w:i/>
          <w:lang w:val="en-GB"/>
        </w:rPr>
        <w:t>Recommendations</w:t>
      </w:r>
    </w:p>
    <w:p w:rsidR="00C5499E" w:rsidRDefault="00C5499E" w:rsidP="00082D64">
      <w:pPr>
        <w:spacing w:after="0"/>
        <w:rPr>
          <w:lang w:val="en-GB"/>
        </w:rPr>
      </w:pPr>
      <w:r w:rsidRPr="00D0457E">
        <w:rPr>
          <w:lang w:val="en-GB"/>
        </w:rPr>
        <w:t>Given the results, it is recommended that a more extensive and third-party verified LCA be performed in order to officially endorse timber pile planking's environmental benefits.</w:t>
      </w:r>
    </w:p>
    <w:p w:rsidR="00FC477E" w:rsidRDefault="00BC2513" w:rsidP="00082D64">
      <w:pPr>
        <w:spacing w:after="0"/>
        <w:rPr>
          <w:lang w:val="en-GB"/>
        </w:rPr>
      </w:pPr>
      <w:r>
        <w:rPr>
          <w:lang w:val="en-GB"/>
        </w:rPr>
        <w:br/>
      </w:r>
      <w:r>
        <w:rPr>
          <w:lang w:val="en-GB"/>
        </w:rPr>
        <w:br/>
      </w:r>
    </w:p>
    <w:p w:rsidR="00067E42" w:rsidRPr="0044159A" w:rsidRDefault="00FC477E" w:rsidP="00082D64">
      <w:pPr>
        <w:spacing w:after="0"/>
        <w:rPr>
          <w:lang w:val="en-GB"/>
        </w:rPr>
      </w:pPr>
      <w:r>
        <w:rPr>
          <w:noProof/>
        </w:rPr>
        <w:drawing>
          <wp:anchor distT="0" distB="0" distL="114300" distR="114300" simplePos="0" relativeHeight="251659264" behindDoc="0" locked="0" layoutInCell="1" allowOverlap="1" wp14:anchorId="069E2CAD" wp14:editId="7D248E9C">
            <wp:simplePos x="0" y="0"/>
            <wp:positionH relativeFrom="column">
              <wp:posOffset>4767580</wp:posOffset>
            </wp:positionH>
            <wp:positionV relativeFrom="paragraph">
              <wp:posOffset>184150</wp:posOffset>
            </wp:positionV>
            <wp:extent cx="913765" cy="1074420"/>
            <wp:effectExtent l="0" t="0" r="63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3765" cy="10744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B7BCD0B" wp14:editId="377611B6">
            <wp:simplePos x="0" y="0"/>
            <wp:positionH relativeFrom="column">
              <wp:posOffset>90805</wp:posOffset>
            </wp:positionH>
            <wp:positionV relativeFrom="paragraph">
              <wp:posOffset>805815</wp:posOffset>
            </wp:positionV>
            <wp:extent cx="732155" cy="424815"/>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STTC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2155" cy="4248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792507A" wp14:editId="53263E99">
            <wp:simplePos x="0" y="0"/>
            <wp:positionH relativeFrom="column">
              <wp:posOffset>2614930</wp:posOffset>
            </wp:positionH>
            <wp:positionV relativeFrom="paragraph">
              <wp:posOffset>317500</wp:posOffset>
            </wp:positionV>
            <wp:extent cx="1752600" cy="1016000"/>
            <wp:effectExtent l="0" t="0" r="0" b="0"/>
            <wp:wrapSquare wrapText="bothSides"/>
            <wp:docPr id="6" name="Afbeelding 6" descr="Forests For All Forever (© FSC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ests For All Forever (© FSC A.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26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D3C4B18" wp14:editId="0D19DDEB">
            <wp:simplePos x="0" y="0"/>
            <wp:positionH relativeFrom="column">
              <wp:posOffset>1395730</wp:posOffset>
            </wp:positionH>
            <wp:positionV relativeFrom="paragraph">
              <wp:posOffset>260350</wp:posOffset>
            </wp:positionV>
            <wp:extent cx="1000125" cy="1000125"/>
            <wp:effectExtent l="0" t="0" r="9525" b="952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 - VVNH logo koninklij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14:sizeRelH relativeFrom="page">
              <wp14:pctWidth>0</wp14:pctWidth>
            </wp14:sizeRelH>
            <wp14:sizeRelV relativeFrom="page">
              <wp14:pctHeight>0</wp14:pctHeight>
            </wp14:sizeRelV>
          </wp:anchor>
        </w:drawing>
      </w:r>
      <w:r>
        <w:rPr>
          <w:lang w:val="en-GB"/>
        </w:rPr>
        <w:t xml:space="preserve">   </w:t>
      </w:r>
      <w:r>
        <w:rPr>
          <w:noProof/>
        </w:rPr>
        <w:t xml:space="preserve">                 </w:t>
      </w:r>
      <w:r w:rsidR="00067E42">
        <w:rPr>
          <w:lang w:val="en-GB"/>
        </w:rPr>
        <w:t xml:space="preserve"> </w:t>
      </w:r>
      <w:r>
        <w:rPr>
          <w:lang w:val="en-GB"/>
        </w:rPr>
        <w:t xml:space="preserve">    </w:t>
      </w:r>
      <w:r w:rsidR="00067E42">
        <w:rPr>
          <w:lang w:val="en-GB"/>
        </w:rPr>
        <w:t xml:space="preserve">  </w:t>
      </w:r>
      <w:r>
        <w:rPr>
          <w:lang w:val="en-GB"/>
        </w:rPr>
        <w:t xml:space="preserve">          </w:t>
      </w:r>
      <w:r w:rsidR="00067E42">
        <w:rPr>
          <w:lang w:val="en-GB"/>
        </w:rPr>
        <w:t xml:space="preserve"> </w:t>
      </w:r>
      <w:r>
        <w:rPr>
          <w:lang w:val="en-GB"/>
        </w:rPr>
        <w:t xml:space="preserve">          </w:t>
      </w:r>
    </w:p>
    <w:sectPr w:rsidR="00067E42" w:rsidRPr="0044159A" w:rsidSect="0058223F">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89D" w:rsidRDefault="00E5289D" w:rsidP="0060543C">
      <w:pPr>
        <w:spacing w:after="0" w:line="240" w:lineRule="auto"/>
      </w:pPr>
      <w:r>
        <w:separator/>
      </w:r>
    </w:p>
  </w:endnote>
  <w:endnote w:type="continuationSeparator" w:id="0">
    <w:p w:rsidR="00E5289D" w:rsidRDefault="00E5289D" w:rsidP="00605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EYInterstate Light">
    <w:altName w:val="Times New Roman"/>
    <w:charset w:val="00"/>
    <w:family w:val="auto"/>
    <w:pitch w:val="variable"/>
    <w:sig w:usb0="00000001" w:usb1="5000206A" w:usb2="00000000" w:usb3="00000000" w:csb0="0000009F" w:csb1="00000000"/>
  </w:font>
  <w:font w:name="Tahoma">
    <w:panose1 w:val="020B0604030504040204"/>
    <w:charset w:val="00"/>
    <w:family w:val="swiss"/>
    <w:pitch w:val="variable"/>
    <w:sig w:usb0="E1002EFF" w:usb1="C000605B" w:usb2="00000029" w:usb3="00000000" w:csb0="000101FF" w:csb1="00000000"/>
  </w:font>
  <w:font w:name="EYInterstate">
    <w:altName w:val="Times New Roman"/>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43C" w:rsidRDefault="0060543C">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43C" w:rsidRDefault="0060543C">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43C" w:rsidRDefault="0060543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89D" w:rsidRDefault="00E5289D" w:rsidP="0060543C">
      <w:pPr>
        <w:spacing w:after="0" w:line="240" w:lineRule="auto"/>
      </w:pPr>
      <w:r>
        <w:separator/>
      </w:r>
    </w:p>
  </w:footnote>
  <w:footnote w:type="continuationSeparator" w:id="0">
    <w:p w:rsidR="00E5289D" w:rsidRDefault="00E5289D" w:rsidP="006054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43C" w:rsidRDefault="0060543C">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43C" w:rsidRDefault="0060543C">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43C" w:rsidRDefault="0060543C">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34893"/>
    <w:multiLevelType w:val="hybridMultilevel"/>
    <w:tmpl w:val="F0C8EA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A11562A"/>
    <w:multiLevelType w:val="hybridMultilevel"/>
    <w:tmpl w:val="C614A3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CC16D2F"/>
    <w:multiLevelType w:val="hybridMultilevel"/>
    <w:tmpl w:val="BA68C6F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41510A44"/>
    <w:multiLevelType w:val="hybridMultilevel"/>
    <w:tmpl w:val="F8429B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48825AF6"/>
    <w:multiLevelType w:val="hybridMultilevel"/>
    <w:tmpl w:val="91E68B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C2A3E04"/>
    <w:multiLevelType w:val="hybridMultilevel"/>
    <w:tmpl w:val="5D46BB64"/>
    <w:lvl w:ilvl="0" w:tplc="881ACC06">
      <w:start w:val="1"/>
      <w:numFmt w:val="decimal"/>
      <w:lvlText w:val="(%1)"/>
      <w:lvlJc w:val="left"/>
      <w:pPr>
        <w:ind w:left="720" w:hanging="360"/>
      </w:pPr>
      <w:rPr>
        <w:rFonts w:asciiTheme="minorHAnsi" w:eastAsiaTheme="minorEastAsia" w:hAnsiTheme="minorHAnsi"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7B7458BF"/>
    <w:multiLevelType w:val="hybridMultilevel"/>
    <w:tmpl w:val="A8F65548"/>
    <w:lvl w:ilvl="0" w:tplc="0413000F">
      <w:start w:val="1"/>
      <w:numFmt w:val="decimal"/>
      <w:lvlText w:val="%1."/>
      <w:lvlJc w:val="left"/>
      <w:pPr>
        <w:ind w:left="756" w:hanging="360"/>
      </w:pPr>
    </w:lvl>
    <w:lvl w:ilvl="1" w:tplc="04130019" w:tentative="1">
      <w:start w:val="1"/>
      <w:numFmt w:val="lowerLetter"/>
      <w:lvlText w:val="%2."/>
      <w:lvlJc w:val="left"/>
      <w:pPr>
        <w:ind w:left="1476" w:hanging="360"/>
      </w:pPr>
    </w:lvl>
    <w:lvl w:ilvl="2" w:tplc="0413001B" w:tentative="1">
      <w:start w:val="1"/>
      <w:numFmt w:val="lowerRoman"/>
      <w:lvlText w:val="%3."/>
      <w:lvlJc w:val="right"/>
      <w:pPr>
        <w:ind w:left="2196" w:hanging="180"/>
      </w:pPr>
    </w:lvl>
    <w:lvl w:ilvl="3" w:tplc="0413000F" w:tentative="1">
      <w:start w:val="1"/>
      <w:numFmt w:val="decimal"/>
      <w:lvlText w:val="%4."/>
      <w:lvlJc w:val="left"/>
      <w:pPr>
        <w:ind w:left="2916" w:hanging="360"/>
      </w:pPr>
    </w:lvl>
    <w:lvl w:ilvl="4" w:tplc="04130019" w:tentative="1">
      <w:start w:val="1"/>
      <w:numFmt w:val="lowerLetter"/>
      <w:lvlText w:val="%5."/>
      <w:lvlJc w:val="left"/>
      <w:pPr>
        <w:ind w:left="3636" w:hanging="360"/>
      </w:pPr>
    </w:lvl>
    <w:lvl w:ilvl="5" w:tplc="0413001B" w:tentative="1">
      <w:start w:val="1"/>
      <w:numFmt w:val="lowerRoman"/>
      <w:lvlText w:val="%6."/>
      <w:lvlJc w:val="right"/>
      <w:pPr>
        <w:ind w:left="4356" w:hanging="180"/>
      </w:pPr>
    </w:lvl>
    <w:lvl w:ilvl="6" w:tplc="0413000F" w:tentative="1">
      <w:start w:val="1"/>
      <w:numFmt w:val="decimal"/>
      <w:lvlText w:val="%7."/>
      <w:lvlJc w:val="left"/>
      <w:pPr>
        <w:ind w:left="5076" w:hanging="360"/>
      </w:pPr>
    </w:lvl>
    <w:lvl w:ilvl="7" w:tplc="04130019" w:tentative="1">
      <w:start w:val="1"/>
      <w:numFmt w:val="lowerLetter"/>
      <w:lvlText w:val="%8."/>
      <w:lvlJc w:val="left"/>
      <w:pPr>
        <w:ind w:left="5796" w:hanging="360"/>
      </w:pPr>
    </w:lvl>
    <w:lvl w:ilvl="8" w:tplc="0413001B" w:tentative="1">
      <w:start w:val="1"/>
      <w:numFmt w:val="lowerRoman"/>
      <w:lvlText w:val="%9."/>
      <w:lvlJc w:val="right"/>
      <w:pPr>
        <w:ind w:left="6516" w:hanging="180"/>
      </w:pPr>
    </w:lvl>
  </w:abstractNum>
  <w:abstractNum w:abstractNumId="7">
    <w:nsid w:val="7C245135"/>
    <w:multiLevelType w:val="hybridMultilevel"/>
    <w:tmpl w:val="68923246"/>
    <w:lvl w:ilvl="0" w:tplc="0413000F">
      <w:start w:val="1"/>
      <w:numFmt w:val="decimal"/>
      <w:lvlText w:val="%1."/>
      <w:lvlJc w:val="left"/>
      <w:pPr>
        <w:ind w:left="756" w:hanging="360"/>
      </w:pPr>
    </w:lvl>
    <w:lvl w:ilvl="1" w:tplc="04130019" w:tentative="1">
      <w:start w:val="1"/>
      <w:numFmt w:val="lowerLetter"/>
      <w:lvlText w:val="%2."/>
      <w:lvlJc w:val="left"/>
      <w:pPr>
        <w:ind w:left="1476" w:hanging="360"/>
      </w:pPr>
    </w:lvl>
    <w:lvl w:ilvl="2" w:tplc="0413001B" w:tentative="1">
      <w:start w:val="1"/>
      <w:numFmt w:val="lowerRoman"/>
      <w:lvlText w:val="%3."/>
      <w:lvlJc w:val="right"/>
      <w:pPr>
        <w:ind w:left="2196" w:hanging="180"/>
      </w:pPr>
    </w:lvl>
    <w:lvl w:ilvl="3" w:tplc="0413000F" w:tentative="1">
      <w:start w:val="1"/>
      <w:numFmt w:val="decimal"/>
      <w:lvlText w:val="%4."/>
      <w:lvlJc w:val="left"/>
      <w:pPr>
        <w:ind w:left="2916" w:hanging="360"/>
      </w:pPr>
    </w:lvl>
    <w:lvl w:ilvl="4" w:tplc="04130019" w:tentative="1">
      <w:start w:val="1"/>
      <w:numFmt w:val="lowerLetter"/>
      <w:lvlText w:val="%5."/>
      <w:lvlJc w:val="left"/>
      <w:pPr>
        <w:ind w:left="3636" w:hanging="360"/>
      </w:pPr>
    </w:lvl>
    <w:lvl w:ilvl="5" w:tplc="0413001B" w:tentative="1">
      <w:start w:val="1"/>
      <w:numFmt w:val="lowerRoman"/>
      <w:lvlText w:val="%6."/>
      <w:lvlJc w:val="right"/>
      <w:pPr>
        <w:ind w:left="4356" w:hanging="180"/>
      </w:pPr>
    </w:lvl>
    <w:lvl w:ilvl="6" w:tplc="0413000F" w:tentative="1">
      <w:start w:val="1"/>
      <w:numFmt w:val="decimal"/>
      <w:lvlText w:val="%7."/>
      <w:lvlJc w:val="left"/>
      <w:pPr>
        <w:ind w:left="5076" w:hanging="360"/>
      </w:pPr>
    </w:lvl>
    <w:lvl w:ilvl="7" w:tplc="04130019" w:tentative="1">
      <w:start w:val="1"/>
      <w:numFmt w:val="lowerLetter"/>
      <w:lvlText w:val="%8."/>
      <w:lvlJc w:val="left"/>
      <w:pPr>
        <w:ind w:left="5796" w:hanging="360"/>
      </w:pPr>
    </w:lvl>
    <w:lvl w:ilvl="8" w:tplc="0413001B" w:tentative="1">
      <w:start w:val="1"/>
      <w:numFmt w:val="lowerRoman"/>
      <w:lvlText w:val="%9."/>
      <w:lvlJc w:val="right"/>
      <w:pPr>
        <w:ind w:left="6516" w:hanging="180"/>
      </w:pPr>
    </w:lvl>
  </w:abstractNum>
  <w:num w:numId="1">
    <w:abstractNumId w:val="1"/>
  </w:num>
  <w:num w:numId="2">
    <w:abstractNumId w:val="4"/>
  </w:num>
  <w:num w:numId="3">
    <w:abstractNumId w:val="2"/>
  </w:num>
  <w:num w:numId="4">
    <w:abstractNumId w:val="3"/>
  </w:num>
  <w:num w:numId="5">
    <w:abstractNumId w:val="6"/>
  </w:num>
  <w:num w:numId="6">
    <w:abstractNumId w:val="0"/>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008"/>
    <w:rsid w:val="00005CEC"/>
    <w:rsid w:val="00067E42"/>
    <w:rsid w:val="00075DE9"/>
    <w:rsid w:val="00082D64"/>
    <w:rsid w:val="00086E51"/>
    <w:rsid w:val="000A05AB"/>
    <w:rsid w:val="000B7CDC"/>
    <w:rsid w:val="000E7536"/>
    <w:rsid w:val="00120A2B"/>
    <w:rsid w:val="00167370"/>
    <w:rsid w:val="00181058"/>
    <w:rsid w:val="00197E4E"/>
    <w:rsid w:val="001D7B22"/>
    <w:rsid w:val="00230F89"/>
    <w:rsid w:val="00261D67"/>
    <w:rsid w:val="002A2C42"/>
    <w:rsid w:val="002F4268"/>
    <w:rsid w:val="00332025"/>
    <w:rsid w:val="003C252E"/>
    <w:rsid w:val="003E5178"/>
    <w:rsid w:val="00417F2B"/>
    <w:rsid w:val="004244F2"/>
    <w:rsid w:val="00427DF2"/>
    <w:rsid w:val="0044159A"/>
    <w:rsid w:val="00461CAB"/>
    <w:rsid w:val="00470023"/>
    <w:rsid w:val="00484736"/>
    <w:rsid w:val="00495400"/>
    <w:rsid w:val="004D3853"/>
    <w:rsid w:val="004F2F1B"/>
    <w:rsid w:val="00504CA4"/>
    <w:rsid w:val="005275DF"/>
    <w:rsid w:val="005650F1"/>
    <w:rsid w:val="0057463E"/>
    <w:rsid w:val="0058223F"/>
    <w:rsid w:val="005A3CB8"/>
    <w:rsid w:val="005C023F"/>
    <w:rsid w:val="005C63D2"/>
    <w:rsid w:val="0060543C"/>
    <w:rsid w:val="00650E53"/>
    <w:rsid w:val="00664A85"/>
    <w:rsid w:val="006A4488"/>
    <w:rsid w:val="006C79DC"/>
    <w:rsid w:val="0070036F"/>
    <w:rsid w:val="007025F2"/>
    <w:rsid w:val="00710A5D"/>
    <w:rsid w:val="007410E3"/>
    <w:rsid w:val="00742008"/>
    <w:rsid w:val="00776FD4"/>
    <w:rsid w:val="007B376F"/>
    <w:rsid w:val="007C7D99"/>
    <w:rsid w:val="007D6FDD"/>
    <w:rsid w:val="007F522C"/>
    <w:rsid w:val="00890A59"/>
    <w:rsid w:val="0089748C"/>
    <w:rsid w:val="008A3061"/>
    <w:rsid w:val="008C0E85"/>
    <w:rsid w:val="008C685A"/>
    <w:rsid w:val="00900B70"/>
    <w:rsid w:val="00904C4E"/>
    <w:rsid w:val="00993A73"/>
    <w:rsid w:val="009D5818"/>
    <w:rsid w:val="009F75B9"/>
    <w:rsid w:val="00A05DB7"/>
    <w:rsid w:val="00A94F87"/>
    <w:rsid w:val="00A973F6"/>
    <w:rsid w:val="00B128A6"/>
    <w:rsid w:val="00B35694"/>
    <w:rsid w:val="00B36074"/>
    <w:rsid w:val="00B774A9"/>
    <w:rsid w:val="00B960CE"/>
    <w:rsid w:val="00BC2513"/>
    <w:rsid w:val="00C5499E"/>
    <w:rsid w:val="00C9343E"/>
    <w:rsid w:val="00CF49E3"/>
    <w:rsid w:val="00D0457E"/>
    <w:rsid w:val="00D0657A"/>
    <w:rsid w:val="00D10BFC"/>
    <w:rsid w:val="00D126B2"/>
    <w:rsid w:val="00D330AF"/>
    <w:rsid w:val="00D76034"/>
    <w:rsid w:val="00D95009"/>
    <w:rsid w:val="00DF33FA"/>
    <w:rsid w:val="00E25395"/>
    <w:rsid w:val="00E51C32"/>
    <w:rsid w:val="00E5289D"/>
    <w:rsid w:val="00E90088"/>
    <w:rsid w:val="00EC5B50"/>
    <w:rsid w:val="00EF324F"/>
    <w:rsid w:val="00F21E5D"/>
    <w:rsid w:val="00F54721"/>
    <w:rsid w:val="00F73DC0"/>
    <w:rsid w:val="00FB3879"/>
    <w:rsid w:val="00FB407F"/>
    <w:rsid w:val="00FC477E"/>
    <w:rsid w:val="00FD44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00">
    <w:name w:val="000"/>
    <w:aliases w:val="standaard"/>
    <w:basedOn w:val="Standaard"/>
    <w:link w:val="000Char"/>
    <w:rsid w:val="00742008"/>
    <w:pPr>
      <w:overflowPunct w:val="0"/>
      <w:autoSpaceDE w:val="0"/>
      <w:autoSpaceDN w:val="0"/>
      <w:adjustRightInd w:val="0"/>
      <w:spacing w:after="0" w:line="260" w:lineRule="atLeast"/>
      <w:textAlignment w:val="baseline"/>
    </w:pPr>
    <w:rPr>
      <w:rFonts w:ascii="EYInterstate Light" w:eastAsia="Times New Roman" w:hAnsi="EYInterstate Light" w:cs="Times New Roman"/>
      <w:kern w:val="12"/>
      <w:sz w:val="20"/>
      <w:szCs w:val="20"/>
      <w:lang w:val="en-US"/>
    </w:rPr>
  </w:style>
  <w:style w:type="character" w:customStyle="1" w:styleId="000Char">
    <w:name w:val="000 Char"/>
    <w:aliases w:val="standaard Char"/>
    <w:basedOn w:val="Standaardalinea-lettertype"/>
    <w:link w:val="000"/>
    <w:rsid w:val="00742008"/>
    <w:rPr>
      <w:rFonts w:ascii="EYInterstate Light" w:eastAsia="Times New Roman" w:hAnsi="EYInterstate Light" w:cs="Times New Roman"/>
      <w:kern w:val="12"/>
      <w:sz w:val="20"/>
      <w:szCs w:val="20"/>
      <w:lang w:val="en-US"/>
    </w:rPr>
  </w:style>
  <w:style w:type="paragraph" w:styleId="Ballontekst">
    <w:name w:val="Balloon Text"/>
    <w:basedOn w:val="Standaard"/>
    <w:link w:val="BallontekstChar"/>
    <w:uiPriority w:val="99"/>
    <w:semiHidden/>
    <w:unhideWhenUsed/>
    <w:rsid w:val="0018105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81058"/>
    <w:rPr>
      <w:rFonts w:ascii="Tahoma" w:hAnsi="Tahoma" w:cs="Tahoma"/>
      <w:sz w:val="16"/>
      <w:szCs w:val="16"/>
    </w:rPr>
  </w:style>
  <w:style w:type="paragraph" w:styleId="Bijschrift">
    <w:name w:val="caption"/>
    <w:basedOn w:val="Standaard"/>
    <w:next w:val="Standaard"/>
    <w:qFormat/>
    <w:rsid w:val="00181058"/>
    <w:pPr>
      <w:pBdr>
        <w:top w:val="single" w:sz="6" w:space="0" w:color="auto"/>
      </w:pBdr>
      <w:overflowPunct w:val="0"/>
      <w:autoSpaceDE w:val="0"/>
      <w:autoSpaceDN w:val="0"/>
      <w:adjustRightInd w:val="0"/>
      <w:spacing w:before="240" w:after="480" w:line="240" w:lineRule="auto"/>
      <w:ind w:left="567" w:hanging="567"/>
      <w:textAlignment w:val="baseline"/>
    </w:pPr>
    <w:rPr>
      <w:rFonts w:ascii="EYInterstate" w:eastAsia="Times New Roman" w:hAnsi="EYInterstate" w:cs="Times New Roman"/>
      <w:sz w:val="18"/>
      <w:szCs w:val="20"/>
      <w:lang w:val="en-US"/>
    </w:rPr>
  </w:style>
  <w:style w:type="paragraph" w:styleId="Lijstalinea">
    <w:name w:val="List Paragraph"/>
    <w:basedOn w:val="Standaard"/>
    <w:uiPriority w:val="34"/>
    <w:qFormat/>
    <w:rsid w:val="00082D64"/>
    <w:pPr>
      <w:ind w:left="720"/>
      <w:contextualSpacing/>
    </w:pPr>
  </w:style>
  <w:style w:type="paragraph" w:styleId="Koptekst">
    <w:name w:val="header"/>
    <w:basedOn w:val="Standaard"/>
    <w:link w:val="KoptekstChar"/>
    <w:uiPriority w:val="99"/>
    <w:semiHidden/>
    <w:unhideWhenUsed/>
    <w:rsid w:val="0060543C"/>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60543C"/>
  </w:style>
  <w:style w:type="paragraph" w:styleId="Voettekst">
    <w:name w:val="footer"/>
    <w:basedOn w:val="Standaard"/>
    <w:link w:val="VoettekstChar"/>
    <w:uiPriority w:val="99"/>
    <w:semiHidden/>
    <w:unhideWhenUsed/>
    <w:rsid w:val="0060543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6054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00">
    <w:name w:val="000"/>
    <w:aliases w:val="standaard"/>
    <w:basedOn w:val="Standaard"/>
    <w:link w:val="000Char"/>
    <w:rsid w:val="00742008"/>
    <w:pPr>
      <w:overflowPunct w:val="0"/>
      <w:autoSpaceDE w:val="0"/>
      <w:autoSpaceDN w:val="0"/>
      <w:adjustRightInd w:val="0"/>
      <w:spacing w:after="0" w:line="260" w:lineRule="atLeast"/>
      <w:textAlignment w:val="baseline"/>
    </w:pPr>
    <w:rPr>
      <w:rFonts w:ascii="EYInterstate Light" w:eastAsia="Times New Roman" w:hAnsi="EYInterstate Light" w:cs="Times New Roman"/>
      <w:kern w:val="12"/>
      <w:sz w:val="20"/>
      <w:szCs w:val="20"/>
      <w:lang w:val="en-US"/>
    </w:rPr>
  </w:style>
  <w:style w:type="character" w:customStyle="1" w:styleId="000Char">
    <w:name w:val="000 Char"/>
    <w:aliases w:val="standaard Char"/>
    <w:basedOn w:val="Standaardalinea-lettertype"/>
    <w:link w:val="000"/>
    <w:rsid w:val="00742008"/>
    <w:rPr>
      <w:rFonts w:ascii="EYInterstate Light" w:eastAsia="Times New Roman" w:hAnsi="EYInterstate Light" w:cs="Times New Roman"/>
      <w:kern w:val="12"/>
      <w:sz w:val="20"/>
      <w:szCs w:val="20"/>
      <w:lang w:val="en-US"/>
    </w:rPr>
  </w:style>
  <w:style w:type="paragraph" w:styleId="Ballontekst">
    <w:name w:val="Balloon Text"/>
    <w:basedOn w:val="Standaard"/>
    <w:link w:val="BallontekstChar"/>
    <w:uiPriority w:val="99"/>
    <w:semiHidden/>
    <w:unhideWhenUsed/>
    <w:rsid w:val="0018105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81058"/>
    <w:rPr>
      <w:rFonts w:ascii="Tahoma" w:hAnsi="Tahoma" w:cs="Tahoma"/>
      <w:sz w:val="16"/>
      <w:szCs w:val="16"/>
    </w:rPr>
  </w:style>
  <w:style w:type="paragraph" w:styleId="Bijschrift">
    <w:name w:val="caption"/>
    <w:basedOn w:val="Standaard"/>
    <w:next w:val="Standaard"/>
    <w:qFormat/>
    <w:rsid w:val="00181058"/>
    <w:pPr>
      <w:pBdr>
        <w:top w:val="single" w:sz="6" w:space="0" w:color="auto"/>
      </w:pBdr>
      <w:overflowPunct w:val="0"/>
      <w:autoSpaceDE w:val="0"/>
      <w:autoSpaceDN w:val="0"/>
      <w:adjustRightInd w:val="0"/>
      <w:spacing w:before="240" w:after="480" w:line="240" w:lineRule="auto"/>
      <w:ind w:left="567" w:hanging="567"/>
      <w:textAlignment w:val="baseline"/>
    </w:pPr>
    <w:rPr>
      <w:rFonts w:ascii="EYInterstate" w:eastAsia="Times New Roman" w:hAnsi="EYInterstate" w:cs="Times New Roman"/>
      <w:sz w:val="18"/>
      <w:szCs w:val="20"/>
      <w:lang w:val="en-US"/>
    </w:rPr>
  </w:style>
  <w:style w:type="paragraph" w:styleId="Lijstalinea">
    <w:name w:val="List Paragraph"/>
    <w:basedOn w:val="Standaard"/>
    <w:uiPriority w:val="34"/>
    <w:qFormat/>
    <w:rsid w:val="00082D64"/>
    <w:pPr>
      <w:ind w:left="720"/>
      <w:contextualSpacing/>
    </w:pPr>
  </w:style>
  <w:style w:type="paragraph" w:styleId="Koptekst">
    <w:name w:val="header"/>
    <w:basedOn w:val="Standaard"/>
    <w:link w:val="KoptekstChar"/>
    <w:uiPriority w:val="99"/>
    <w:semiHidden/>
    <w:unhideWhenUsed/>
    <w:rsid w:val="0060543C"/>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60543C"/>
  </w:style>
  <w:style w:type="paragraph" w:styleId="Voettekst">
    <w:name w:val="footer"/>
    <w:basedOn w:val="Standaard"/>
    <w:link w:val="VoettekstChar"/>
    <w:uiPriority w:val="99"/>
    <w:semiHidden/>
    <w:unhideWhenUsed/>
    <w:rsid w:val="0060543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6054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BC0AA-5232-4B63-8B2F-161D1C042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1486</Words>
  <Characters>8178</Characters>
  <Application>Microsoft Office Word</Application>
  <DocSecurity>4</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9645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2016-04-26T08:56:00Z</dcterms:created>
  <dcterms:modified xsi:type="dcterms:W3CDTF">2016-04-26T08:56:00Z</dcterms:modified>
</cp:coreProperties>
</file>